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664B" w14:textId="4A2948AF" w:rsidR="00E1751E" w:rsidRPr="00E1751E" w:rsidRDefault="00E1751E" w:rsidP="00E1751E">
      <w:pPr>
        <w:pStyle w:val="Title"/>
        <w:rPr>
          <w:color w:val="A58DC0"/>
          <w:lang w:val="en-US"/>
        </w:rPr>
      </w:pPr>
      <w:proofErr w:type="spellStart"/>
      <w:r w:rsidRPr="00E1751E">
        <w:rPr>
          <w:color w:val="A58DC0"/>
          <w:lang w:val="en-US"/>
        </w:rPr>
        <w:t>Arigal</w:t>
      </w:r>
      <w:proofErr w:type="spellEnd"/>
      <w:r w:rsidRPr="00E1751E">
        <w:rPr>
          <w:color w:val="A58DC0"/>
          <w:lang w:val="en-US"/>
        </w:rPr>
        <w:t xml:space="preserve"> Consulting is a trading style of Access Financial Services Limited – Policy for dealing with customers with characteristics of vulnerability</w:t>
      </w:r>
    </w:p>
    <w:p w14:paraId="057A14FD" w14:textId="5F30E476" w:rsidR="00E1751E" w:rsidRPr="00E1751E" w:rsidRDefault="00E1751E" w:rsidP="00E1751E">
      <w:pPr>
        <w:rPr>
          <w:b/>
          <w:bCs/>
          <w:color w:val="A58DC0"/>
          <w:lang w:val="en-US"/>
        </w:rPr>
      </w:pPr>
      <w:r w:rsidRPr="00E1751E">
        <w:rPr>
          <w:b/>
          <w:bCs/>
          <w:color w:val="A58DC0"/>
          <w:lang w:val="en-US"/>
        </w:rPr>
        <w:t>Overview</w:t>
      </w:r>
    </w:p>
    <w:p w14:paraId="3783EFA0" w14:textId="77777777" w:rsidR="00E1751E" w:rsidRPr="00E1751E" w:rsidRDefault="00E1751E" w:rsidP="00E1751E">
      <w:pPr>
        <w:rPr>
          <w:lang w:val="en-US"/>
        </w:rPr>
      </w:pPr>
      <w:r w:rsidRPr="00E1751E">
        <w:rPr>
          <w:lang w:val="en-US"/>
        </w:rPr>
        <w:t>This policy sets out how we aim to identify and treat clients and prospective clients who may be considered as being vulnerable by virtue of their personal circumstances. These circumstances might include health, financial capability, age, financial/emotional resilience or exposure to key life events such as retirement or bereavement. These circumstances may be temporary, sporadic or permanent.</w:t>
      </w:r>
    </w:p>
    <w:p w14:paraId="39E631D5" w14:textId="26ECD0DE" w:rsidR="00E1751E" w:rsidRPr="00E1751E" w:rsidRDefault="00E1751E" w:rsidP="00E1751E">
      <w:pPr>
        <w:rPr>
          <w:lang w:val="en-US"/>
        </w:rPr>
      </w:pPr>
      <w:r w:rsidRPr="00E1751E">
        <w:rPr>
          <w:lang w:val="en-US"/>
        </w:rPr>
        <w:t>Although vulnerability can come in many forms, it is important that such individuals are dealt with appropriately, fairly and consistently.</w:t>
      </w:r>
    </w:p>
    <w:p w14:paraId="4F12810F" w14:textId="77777777" w:rsidR="00E1751E" w:rsidRPr="00E1751E" w:rsidRDefault="00E1751E" w:rsidP="00E1751E">
      <w:pPr>
        <w:rPr>
          <w:lang w:val="en-US"/>
        </w:rPr>
      </w:pPr>
      <w:r w:rsidRPr="00E1751E">
        <w:rPr>
          <w:lang w:val="en-US"/>
        </w:rPr>
        <w:t xml:space="preserve">We are committed to making sure that all clients, regardless of their </w:t>
      </w:r>
      <w:proofErr w:type="gramStart"/>
      <w:r w:rsidRPr="00E1751E">
        <w:rPr>
          <w:lang w:val="en-US"/>
        </w:rPr>
        <w:t>situation</w:t>
      </w:r>
      <w:proofErr w:type="gramEnd"/>
      <w:r w:rsidRPr="00E1751E">
        <w:rPr>
          <w:lang w:val="en-US"/>
        </w:rPr>
        <w:t xml:space="preserve"> receive good experiences and outcomes. We will do this by:</w:t>
      </w:r>
    </w:p>
    <w:p w14:paraId="13EDFDA2" w14:textId="77777777" w:rsidR="00E1751E" w:rsidRPr="00E1751E" w:rsidRDefault="00E1751E" w:rsidP="00E1751E">
      <w:pPr>
        <w:numPr>
          <w:ilvl w:val="0"/>
          <w:numId w:val="1"/>
        </w:numPr>
        <w:rPr>
          <w:lang w:val="en-US"/>
        </w:rPr>
      </w:pPr>
      <w:r w:rsidRPr="00E1751E">
        <w:rPr>
          <w:lang w:val="en-US"/>
        </w:rPr>
        <w:t>Considering the needs of vulnerable clients as part of the design and delivery of our services.</w:t>
      </w:r>
    </w:p>
    <w:p w14:paraId="2C27F9E2" w14:textId="77777777" w:rsidR="00E1751E" w:rsidRPr="00E1751E" w:rsidRDefault="00E1751E" w:rsidP="00E1751E">
      <w:pPr>
        <w:numPr>
          <w:ilvl w:val="0"/>
          <w:numId w:val="1"/>
        </w:numPr>
        <w:rPr>
          <w:lang w:val="en-US"/>
        </w:rPr>
      </w:pPr>
      <w:r w:rsidRPr="00E1751E">
        <w:rPr>
          <w:lang w:val="en-US"/>
        </w:rPr>
        <w:t xml:space="preserve">Equipping staff to </w:t>
      </w:r>
      <w:proofErr w:type="spellStart"/>
      <w:r w:rsidRPr="00E1751E">
        <w:rPr>
          <w:lang w:val="en-US"/>
        </w:rPr>
        <w:t>recognise</w:t>
      </w:r>
      <w:proofErr w:type="spellEnd"/>
      <w:r w:rsidRPr="00E1751E">
        <w:rPr>
          <w:lang w:val="en-US"/>
        </w:rPr>
        <w:t xml:space="preserve"> and respond to the needs of vulnerable clients.</w:t>
      </w:r>
    </w:p>
    <w:p w14:paraId="14AA1843" w14:textId="77777777" w:rsidR="00E1751E" w:rsidRPr="00E1751E" w:rsidRDefault="00E1751E" w:rsidP="00E1751E">
      <w:pPr>
        <w:numPr>
          <w:ilvl w:val="0"/>
          <w:numId w:val="1"/>
        </w:numPr>
        <w:rPr>
          <w:lang w:val="en-US"/>
        </w:rPr>
      </w:pPr>
      <w:r w:rsidRPr="00E1751E">
        <w:rPr>
          <w:lang w:val="en-US"/>
        </w:rPr>
        <w:t>Having processes in place to support and enable vulnerable customers to disclose their needs.</w:t>
      </w:r>
    </w:p>
    <w:p w14:paraId="5C718EEA" w14:textId="77777777" w:rsidR="00E1751E" w:rsidRPr="00E1751E" w:rsidRDefault="00E1751E" w:rsidP="00E1751E">
      <w:pPr>
        <w:numPr>
          <w:ilvl w:val="0"/>
          <w:numId w:val="1"/>
        </w:numPr>
        <w:rPr>
          <w:lang w:val="en-US"/>
        </w:rPr>
      </w:pPr>
      <w:r w:rsidRPr="00E1751E">
        <w:rPr>
          <w:lang w:val="en-US"/>
        </w:rPr>
        <w:t>Being empathetic to specific needs or concerns vulnerable clients may have and flexible in our approach to client support and communications.</w:t>
      </w:r>
    </w:p>
    <w:p w14:paraId="78F8EC57" w14:textId="21568C67" w:rsidR="00E1751E" w:rsidRPr="00E1751E" w:rsidRDefault="00E1751E" w:rsidP="00E1751E">
      <w:pPr>
        <w:numPr>
          <w:ilvl w:val="0"/>
          <w:numId w:val="1"/>
        </w:numPr>
        <w:rPr>
          <w:lang w:val="en-US"/>
        </w:rPr>
      </w:pPr>
      <w:r w:rsidRPr="00E1751E">
        <w:rPr>
          <w:lang w:val="en-US"/>
        </w:rPr>
        <w:t xml:space="preserve">Monitoring whether we are meeting and responding to the needs of customers with characteristics of vulnerability and </w:t>
      </w:r>
      <w:proofErr w:type="gramStart"/>
      <w:r w:rsidRPr="00E1751E">
        <w:rPr>
          <w:lang w:val="en-US"/>
        </w:rPr>
        <w:t>make</w:t>
      </w:r>
      <w:proofErr w:type="gramEnd"/>
      <w:r w:rsidRPr="00E1751E">
        <w:rPr>
          <w:lang w:val="en-US"/>
        </w:rPr>
        <w:t xml:space="preserve"> improvements when this is not happening.</w:t>
      </w:r>
    </w:p>
    <w:p w14:paraId="26766A04" w14:textId="10550AF6" w:rsidR="00E1751E" w:rsidRPr="00E1751E" w:rsidRDefault="00E1751E" w:rsidP="00E1751E">
      <w:pPr>
        <w:rPr>
          <w:lang w:val="en-US"/>
        </w:rPr>
      </w:pPr>
      <w:r w:rsidRPr="00E1751E">
        <w:rPr>
          <w:lang w:val="en-US"/>
        </w:rPr>
        <w:t xml:space="preserve">We will provide training all our staff to identify the key indicators of vulnerability and to </w:t>
      </w:r>
      <w:proofErr w:type="gramStart"/>
      <w:r w:rsidRPr="00E1751E">
        <w:rPr>
          <w:lang w:val="en-US"/>
        </w:rPr>
        <w:t>providing</w:t>
      </w:r>
      <w:proofErr w:type="gramEnd"/>
      <w:r w:rsidRPr="00E1751E">
        <w:rPr>
          <w:lang w:val="en-US"/>
        </w:rPr>
        <w:t xml:space="preserve"> appropriate support and solutions for vulnerable clients.</w:t>
      </w:r>
    </w:p>
    <w:p w14:paraId="27CDF106" w14:textId="77777777" w:rsidR="00E1751E" w:rsidRPr="00E1751E" w:rsidRDefault="00E1751E" w:rsidP="00E1751E">
      <w:pPr>
        <w:rPr>
          <w:b/>
          <w:bCs/>
          <w:color w:val="A58DC0"/>
          <w:lang w:val="en-US"/>
        </w:rPr>
      </w:pPr>
      <w:bookmarkStart w:id="0" w:name="What_is_a_vulnerable_client?"/>
      <w:bookmarkEnd w:id="0"/>
      <w:r w:rsidRPr="00E1751E">
        <w:rPr>
          <w:b/>
          <w:bCs/>
          <w:color w:val="A58DC0"/>
          <w:lang w:val="en-US"/>
        </w:rPr>
        <w:t>What is a vulnerable client?</w:t>
      </w:r>
    </w:p>
    <w:p w14:paraId="12A32C25" w14:textId="2992340B" w:rsidR="00E1751E" w:rsidRPr="00E1751E" w:rsidRDefault="00E1751E" w:rsidP="00E1751E">
      <w:pPr>
        <w:rPr>
          <w:lang w:val="en-US"/>
        </w:rPr>
      </w:pPr>
      <w:r w:rsidRPr="00E1751E">
        <w:rPr>
          <w:lang w:val="en-US"/>
        </w:rPr>
        <w:t>The FCA defines a vulnerable client as: ‘</w:t>
      </w:r>
      <w:r w:rsidRPr="00E1751E">
        <w:rPr>
          <w:b/>
          <w:lang w:val="en-US"/>
        </w:rPr>
        <w:t xml:space="preserve">Someone who, due to their personal circumstances, is especially susceptible to detriment, particularly when a firm is not acting with appropriate levels of </w:t>
      </w:r>
      <w:proofErr w:type="gramStart"/>
      <w:r w:rsidRPr="00E1751E">
        <w:rPr>
          <w:b/>
          <w:lang w:val="en-US"/>
        </w:rPr>
        <w:t>care</w:t>
      </w:r>
      <w:r w:rsidRPr="00E1751E">
        <w:rPr>
          <w:lang w:val="en-US"/>
        </w:rPr>
        <w:t>’.</w:t>
      </w:r>
      <w:proofErr w:type="gramEnd"/>
    </w:p>
    <w:p w14:paraId="18E140BA" w14:textId="77777777" w:rsidR="00E1751E" w:rsidRPr="00E1751E" w:rsidRDefault="00E1751E" w:rsidP="00E1751E">
      <w:pPr>
        <w:rPr>
          <w:lang w:val="en-US"/>
        </w:rPr>
      </w:pPr>
      <w:r w:rsidRPr="00E1751E">
        <w:rPr>
          <w:lang w:val="en-US"/>
        </w:rPr>
        <w:t>A vulnerable client may be less able than others to:</w:t>
      </w:r>
    </w:p>
    <w:p w14:paraId="147CE106" w14:textId="77777777" w:rsidR="00E1751E" w:rsidRPr="00E1751E" w:rsidRDefault="00E1751E" w:rsidP="00E1751E">
      <w:pPr>
        <w:numPr>
          <w:ilvl w:val="0"/>
          <w:numId w:val="1"/>
        </w:numPr>
        <w:rPr>
          <w:lang w:val="en-US"/>
        </w:rPr>
      </w:pPr>
      <w:r w:rsidRPr="00E1751E">
        <w:rPr>
          <w:lang w:val="en-US"/>
        </w:rPr>
        <w:t xml:space="preserve">Realistically and objectively identify and </w:t>
      </w:r>
      <w:proofErr w:type="spellStart"/>
      <w:r w:rsidRPr="00E1751E">
        <w:rPr>
          <w:lang w:val="en-US"/>
        </w:rPr>
        <w:t>prioritise</w:t>
      </w:r>
      <w:proofErr w:type="spellEnd"/>
      <w:r w:rsidRPr="00E1751E">
        <w:rPr>
          <w:lang w:val="en-US"/>
        </w:rPr>
        <w:t xml:space="preserve"> their own needs.</w:t>
      </w:r>
    </w:p>
    <w:p w14:paraId="15D15CEA" w14:textId="77777777" w:rsidR="00E1751E" w:rsidRPr="00E1751E" w:rsidRDefault="00E1751E" w:rsidP="00E1751E">
      <w:pPr>
        <w:numPr>
          <w:ilvl w:val="0"/>
          <w:numId w:val="1"/>
        </w:numPr>
        <w:rPr>
          <w:lang w:val="en-US"/>
        </w:rPr>
      </w:pPr>
      <w:proofErr w:type="gramStart"/>
      <w:r w:rsidRPr="00E1751E">
        <w:rPr>
          <w:lang w:val="en-US"/>
        </w:rPr>
        <w:t>Fully</w:t>
      </w:r>
      <w:proofErr w:type="gramEnd"/>
      <w:r w:rsidRPr="00E1751E">
        <w:rPr>
          <w:lang w:val="en-US"/>
        </w:rPr>
        <w:t xml:space="preserve"> understand the risk, cost or implications of any advice provided.</w:t>
      </w:r>
    </w:p>
    <w:p w14:paraId="68B7B6D4" w14:textId="3091D80C" w:rsidR="00E1751E" w:rsidRPr="00E1751E" w:rsidRDefault="00E1751E" w:rsidP="00E1751E">
      <w:pPr>
        <w:numPr>
          <w:ilvl w:val="0"/>
          <w:numId w:val="1"/>
        </w:numPr>
        <w:rPr>
          <w:lang w:val="en-US"/>
        </w:rPr>
      </w:pPr>
      <w:r w:rsidRPr="00E1751E">
        <w:rPr>
          <w:lang w:val="en-US"/>
        </w:rPr>
        <w:lastRenderedPageBreak/>
        <w:t>Assess information in the usual format, for example, orally during meetings or visually in respect of written advice.</w:t>
      </w:r>
    </w:p>
    <w:p w14:paraId="070E5DA3" w14:textId="0EA72E83" w:rsidR="00E1751E" w:rsidRPr="00E1751E" w:rsidRDefault="00E1751E" w:rsidP="00E1751E">
      <w:pPr>
        <w:rPr>
          <w:lang w:val="en-US"/>
        </w:rPr>
      </w:pPr>
      <w:r>
        <w:rPr>
          <w:lang w:val="en-US"/>
        </w:rPr>
        <w:t xml:space="preserve">We are </w:t>
      </w:r>
      <w:r w:rsidRPr="00E1751E">
        <w:rPr>
          <w:lang w:val="en-US"/>
        </w:rPr>
        <w:t>mindful that many clients in vulnerable situations may not think of themselves as being ‘vulnerable’. Where</w:t>
      </w:r>
      <w:r>
        <w:rPr>
          <w:lang w:val="en-US"/>
        </w:rPr>
        <w:t xml:space="preserve"> </w:t>
      </w:r>
      <w:r w:rsidRPr="00E1751E">
        <w:rPr>
          <w:lang w:val="en-US"/>
        </w:rPr>
        <w:t>possible, we will not refer to vulnerability in our interactions with clients but explain that we need to know what their needs are so that we can provide the most appropriate service in the best way to suit them.</w:t>
      </w:r>
    </w:p>
    <w:p w14:paraId="4D2AF24F" w14:textId="77777777" w:rsidR="00E1751E" w:rsidRPr="00E1751E" w:rsidRDefault="00E1751E" w:rsidP="00E1751E">
      <w:pPr>
        <w:rPr>
          <w:lang w:val="en-US"/>
        </w:rPr>
      </w:pPr>
    </w:p>
    <w:p w14:paraId="039E8E1B" w14:textId="77777777" w:rsidR="00E1751E" w:rsidRPr="00E1751E" w:rsidRDefault="00E1751E" w:rsidP="00E1751E">
      <w:pPr>
        <w:rPr>
          <w:lang w:val="en-US"/>
        </w:rPr>
      </w:pPr>
      <w:r w:rsidRPr="00E1751E">
        <w:rPr>
          <w:lang w:val="en-US"/>
        </w:rPr>
        <w:t xml:space="preserve">Further information on types of vulnerability is available in ‘Equipping staff to </w:t>
      </w:r>
      <w:proofErr w:type="spellStart"/>
      <w:r w:rsidRPr="00E1751E">
        <w:rPr>
          <w:lang w:val="en-US"/>
        </w:rPr>
        <w:t>recognise</w:t>
      </w:r>
      <w:proofErr w:type="spellEnd"/>
      <w:r w:rsidRPr="00E1751E">
        <w:rPr>
          <w:lang w:val="en-US"/>
        </w:rPr>
        <w:t xml:space="preserve"> and respond to the needs of vulnerable </w:t>
      </w:r>
      <w:proofErr w:type="gramStart"/>
      <w:r w:rsidRPr="00E1751E">
        <w:rPr>
          <w:lang w:val="en-US"/>
        </w:rPr>
        <w:t>clients’</w:t>
      </w:r>
      <w:proofErr w:type="gramEnd"/>
      <w:r w:rsidRPr="00E1751E">
        <w:rPr>
          <w:lang w:val="en-US"/>
        </w:rPr>
        <w:t xml:space="preserve"> below. Considering the needs of vulnerable clients as part of the design and delivery of our services.</w:t>
      </w:r>
    </w:p>
    <w:p w14:paraId="74BE4745" w14:textId="77777777" w:rsidR="00E1751E" w:rsidRPr="00E1751E" w:rsidRDefault="00E1751E" w:rsidP="00E1751E">
      <w:pPr>
        <w:rPr>
          <w:lang w:val="en-US"/>
        </w:rPr>
      </w:pPr>
      <w:r w:rsidRPr="00E1751E">
        <w:rPr>
          <w:lang w:val="en-US"/>
        </w:rPr>
        <w:t>When designing our services or making changes to existing services, we will:</w:t>
      </w:r>
    </w:p>
    <w:p w14:paraId="42C11B60" w14:textId="77777777" w:rsidR="00E1751E" w:rsidRPr="00E1751E" w:rsidRDefault="00E1751E" w:rsidP="00E1751E">
      <w:pPr>
        <w:numPr>
          <w:ilvl w:val="0"/>
          <w:numId w:val="1"/>
        </w:numPr>
        <w:rPr>
          <w:lang w:val="en-US"/>
        </w:rPr>
      </w:pPr>
      <w:r w:rsidRPr="00E1751E">
        <w:rPr>
          <w:lang w:val="en-US"/>
        </w:rPr>
        <w:t>Consider the needs of vulnerable clients and any potential benefits and drawbacks of our services for vulnerable clients.</w:t>
      </w:r>
    </w:p>
    <w:p w14:paraId="05440EB7" w14:textId="77777777" w:rsidR="00E1751E" w:rsidRPr="00E1751E" w:rsidRDefault="00E1751E" w:rsidP="00E1751E">
      <w:pPr>
        <w:numPr>
          <w:ilvl w:val="0"/>
          <w:numId w:val="1"/>
        </w:numPr>
        <w:rPr>
          <w:lang w:val="en-US"/>
        </w:rPr>
      </w:pPr>
      <w:r w:rsidRPr="00E1751E">
        <w:rPr>
          <w:lang w:val="en-US"/>
        </w:rPr>
        <w:t>Design services to avoid harmful consequences for vulnerable clients.</w:t>
      </w:r>
    </w:p>
    <w:p w14:paraId="1EF537FB" w14:textId="77777777" w:rsidR="00E1751E" w:rsidRPr="00E1751E" w:rsidRDefault="00E1751E" w:rsidP="00E1751E">
      <w:pPr>
        <w:numPr>
          <w:ilvl w:val="0"/>
          <w:numId w:val="1"/>
        </w:numPr>
        <w:rPr>
          <w:lang w:val="en-US"/>
        </w:rPr>
      </w:pPr>
      <w:r w:rsidRPr="00E1751E">
        <w:rPr>
          <w:lang w:val="en-US"/>
        </w:rPr>
        <w:t>Ensure that all information provided to clients about our services is understandable.</w:t>
      </w:r>
    </w:p>
    <w:p w14:paraId="4071662F" w14:textId="77777777" w:rsidR="00E1751E" w:rsidRPr="00E1751E" w:rsidRDefault="00E1751E" w:rsidP="00E1751E">
      <w:pPr>
        <w:numPr>
          <w:ilvl w:val="0"/>
          <w:numId w:val="1"/>
        </w:numPr>
        <w:rPr>
          <w:lang w:val="en-US"/>
        </w:rPr>
      </w:pPr>
      <w:r w:rsidRPr="00E1751E">
        <w:rPr>
          <w:lang w:val="en-US"/>
        </w:rPr>
        <w:t>Assess whether there is a need to alter our customer support services to help vulnerable clients and take appropriate action.</w:t>
      </w:r>
    </w:p>
    <w:p w14:paraId="511A26DC" w14:textId="77777777" w:rsidR="00E1751E" w:rsidRPr="00E1751E" w:rsidRDefault="00E1751E" w:rsidP="00E1751E">
      <w:pPr>
        <w:rPr>
          <w:b/>
          <w:bCs/>
          <w:color w:val="A58DC0"/>
          <w:lang w:val="en-US"/>
        </w:rPr>
      </w:pPr>
      <w:bookmarkStart w:id="1" w:name="Equipping_staff_to_recognise_and_respond"/>
      <w:bookmarkEnd w:id="1"/>
      <w:r w:rsidRPr="00E1751E">
        <w:rPr>
          <w:b/>
          <w:bCs/>
          <w:color w:val="A58DC0"/>
          <w:lang w:val="en-US"/>
        </w:rPr>
        <w:t xml:space="preserve">Equipping staff to </w:t>
      </w:r>
      <w:proofErr w:type="spellStart"/>
      <w:r w:rsidRPr="00E1751E">
        <w:rPr>
          <w:b/>
          <w:bCs/>
          <w:color w:val="A58DC0"/>
          <w:lang w:val="en-US"/>
        </w:rPr>
        <w:t>recognise</w:t>
      </w:r>
      <w:proofErr w:type="spellEnd"/>
      <w:r w:rsidRPr="00E1751E">
        <w:rPr>
          <w:b/>
          <w:bCs/>
          <w:color w:val="A58DC0"/>
          <w:lang w:val="en-US"/>
        </w:rPr>
        <w:t xml:space="preserve"> and respond to the needs of vulnerable clients</w:t>
      </w:r>
    </w:p>
    <w:p w14:paraId="1E4DE34C" w14:textId="77777777" w:rsidR="00E1751E" w:rsidRPr="00E1751E" w:rsidRDefault="00E1751E" w:rsidP="00E1751E">
      <w:pPr>
        <w:rPr>
          <w:b/>
          <w:bCs/>
          <w:color w:val="A58DC0"/>
          <w:lang w:val="en-US"/>
        </w:rPr>
      </w:pPr>
      <w:bookmarkStart w:id="2" w:name="Types_of_vulnerability"/>
      <w:bookmarkEnd w:id="2"/>
      <w:r w:rsidRPr="00E1751E">
        <w:rPr>
          <w:b/>
          <w:bCs/>
          <w:color w:val="A58DC0"/>
          <w:lang w:val="en-US"/>
        </w:rPr>
        <w:t>Types of vulnerability</w:t>
      </w:r>
    </w:p>
    <w:p w14:paraId="31DE524D" w14:textId="6AF75575" w:rsidR="00E1751E" w:rsidRPr="00E1751E" w:rsidRDefault="00E1751E" w:rsidP="00E1751E">
      <w:pPr>
        <w:rPr>
          <w:lang w:val="en-US"/>
        </w:rPr>
      </w:pPr>
      <w:r w:rsidRPr="00E1751E">
        <w:rPr>
          <w:lang w:val="en-US"/>
        </w:rPr>
        <w:t xml:space="preserve">There are </w:t>
      </w:r>
      <w:proofErr w:type="gramStart"/>
      <w:r w:rsidRPr="00E1751E">
        <w:rPr>
          <w:lang w:val="en-US"/>
        </w:rPr>
        <w:t>a number of</w:t>
      </w:r>
      <w:proofErr w:type="gramEnd"/>
      <w:r w:rsidRPr="00E1751E">
        <w:rPr>
          <w:lang w:val="en-US"/>
        </w:rPr>
        <w:t xml:space="preserve"> factors that could result in a client being deemed vulnerable on a temporary, sporadic or permanent basis. We would consider individuals affected by the following factors to be potentially vulnerable:</w:t>
      </w:r>
    </w:p>
    <w:tbl>
      <w:tblPr>
        <w:tblW w:w="10352" w:type="dxa"/>
        <w:tblInd w:w="-5" w:type="dxa"/>
        <w:tblBorders>
          <w:top w:val="single" w:sz="4" w:space="0" w:color="6A7379"/>
          <w:left w:val="single" w:sz="4" w:space="0" w:color="6A7379"/>
          <w:bottom w:val="single" w:sz="4" w:space="0" w:color="6A7379"/>
          <w:right w:val="single" w:sz="4" w:space="0" w:color="6A7379"/>
          <w:insideH w:val="single" w:sz="4" w:space="0" w:color="6A7379"/>
          <w:insideV w:val="single" w:sz="4" w:space="0" w:color="6A7379"/>
        </w:tblBorders>
        <w:tblLayout w:type="fixed"/>
        <w:tblCellMar>
          <w:left w:w="0" w:type="dxa"/>
          <w:right w:w="0" w:type="dxa"/>
        </w:tblCellMar>
        <w:tblLook w:val="01E0" w:firstRow="1" w:lastRow="1" w:firstColumn="1" w:lastColumn="1" w:noHBand="0" w:noVBand="0"/>
      </w:tblPr>
      <w:tblGrid>
        <w:gridCol w:w="2271"/>
        <w:gridCol w:w="3121"/>
        <w:gridCol w:w="2468"/>
        <w:gridCol w:w="2492"/>
      </w:tblGrid>
      <w:tr w:rsidR="00E1751E" w:rsidRPr="00E1751E" w14:paraId="7AB7703E" w14:textId="77777777" w:rsidTr="00E1751E">
        <w:trPr>
          <w:trHeight w:val="503"/>
        </w:trPr>
        <w:tc>
          <w:tcPr>
            <w:tcW w:w="2271" w:type="dxa"/>
            <w:tcBorders>
              <w:top w:val="single" w:sz="4" w:space="0" w:color="6A7379"/>
              <w:left w:val="single" w:sz="4" w:space="0" w:color="6A7379"/>
              <w:bottom w:val="single" w:sz="4" w:space="0" w:color="6A7379"/>
              <w:right w:val="single" w:sz="4" w:space="0" w:color="6A7379"/>
            </w:tcBorders>
            <w:hideMark/>
          </w:tcPr>
          <w:p w14:paraId="390811F0" w14:textId="77777777" w:rsidR="00E1751E" w:rsidRPr="00E1751E" w:rsidRDefault="00E1751E" w:rsidP="00E1751E">
            <w:pPr>
              <w:rPr>
                <w:b/>
                <w:lang w:val="en-US"/>
              </w:rPr>
            </w:pPr>
            <w:r w:rsidRPr="00E1751E">
              <w:rPr>
                <w:b/>
                <w:lang w:val="en-US"/>
              </w:rPr>
              <w:t>Health</w:t>
            </w:r>
          </w:p>
        </w:tc>
        <w:tc>
          <w:tcPr>
            <w:tcW w:w="3121" w:type="dxa"/>
            <w:tcBorders>
              <w:top w:val="single" w:sz="4" w:space="0" w:color="6A7379"/>
              <w:left w:val="single" w:sz="4" w:space="0" w:color="6A7379"/>
              <w:bottom w:val="single" w:sz="4" w:space="0" w:color="6A7379"/>
              <w:right w:val="single" w:sz="4" w:space="0" w:color="6A7379"/>
            </w:tcBorders>
            <w:hideMark/>
          </w:tcPr>
          <w:p w14:paraId="05A50659" w14:textId="77777777" w:rsidR="00E1751E" w:rsidRPr="00E1751E" w:rsidRDefault="00E1751E" w:rsidP="00E1751E">
            <w:pPr>
              <w:rPr>
                <w:b/>
                <w:lang w:val="en-US"/>
              </w:rPr>
            </w:pPr>
            <w:r w:rsidRPr="00E1751E">
              <w:rPr>
                <w:b/>
                <w:lang w:val="en-US"/>
              </w:rPr>
              <w:t>Life Events</w:t>
            </w:r>
          </w:p>
        </w:tc>
        <w:tc>
          <w:tcPr>
            <w:tcW w:w="2468" w:type="dxa"/>
            <w:tcBorders>
              <w:top w:val="single" w:sz="4" w:space="0" w:color="6A7379"/>
              <w:left w:val="single" w:sz="4" w:space="0" w:color="6A7379"/>
              <w:bottom w:val="single" w:sz="4" w:space="0" w:color="6A7379"/>
              <w:right w:val="single" w:sz="4" w:space="0" w:color="6A7379"/>
            </w:tcBorders>
            <w:hideMark/>
          </w:tcPr>
          <w:p w14:paraId="26F135DD" w14:textId="77777777" w:rsidR="00E1751E" w:rsidRPr="00E1751E" w:rsidRDefault="00E1751E" w:rsidP="00E1751E">
            <w:pPr>
              <w:rPr>
                <w:b/>
                <w:lang w:val="en-US"/>
              </w:rPr>
            </w:pPr>
            <w:r w:rsidRPr="00E1751E">
              <w:rPr>
                <w:b/>
                <w:lang w:val="en-US"/>
              </w:rPr>
              <w:t>Resilience</w:t>
            </w:r>
          </w:p>
        </w:tc>
        <w:tc>
          <w:tcPr>
            <w:tcW w:w="2492" w:type="dxa"/>
            <w:tcBorders>
              <w:top w:val="single" w:sz="4" w:space="0" w:color="6A7379"/>
              <w:left w:val="single" w:sz="4" w:space="0" w:color="6A7379"/>
              <w:bottom w:val="single" w:sz="4" w:space="0" w:color="6A7379"/>
              <w:right w:val="single" w:sz="4" w:space="0" w:color="6A7379"/>
            </w:tcBorders>
            <w:hideMark/>
          </w:tcPr>
          <w:p w14:paraId="0EAC153D" w14:textId="77777777" w:rsidR="00E1751E" w:rsidRPr="00E1751E" w:rsidRDefault="00E1751E" w:rsidP="00E1751E">
            <w:pPr>
              <w:rPr>
                <w:b/>
                <w:lang w:val="en-US"/>
              </w:rPr>
            </w:pPr>
            <w:r w:rsidRPr="00E1751E">
              <w:rPr>
                <w:b/>
                <w:lang w:val="en-US"/>
              </w:rPr>
              <w:t>Capability</w:t>
            </w:r>
          </w:p>
        </w:tc>
      </w:tr>
      <w:tr w:rsidR="00E1751E" w:rsidRPr="00E1751E" w14:paraId="1223208B" w14:textId="77777777" w:rsidTr="00E1751E">
        <w:trPr>
          <w:trHeight w:val="4532"/>
        </w:trPr>
        <w:tc>
          <w:tcPr>
            <w:tcW w:w="2271" w:type="dxa"/>
            <w:tcBorders>
              <w:top w:val="single" w:sz="4" w:space="0" w:color="6A7379"/>
              <w:left w:val="single" w:sz="4" w:space="0" w:color="6A7379"/>
              <w:bottom w:val="single" w:sz="4" w:space="0" w:color="6A7379"/>
              <w:right w:val="single" w:sz="4" w:space="0" w:color="6A7379"/>
            </w:tcBorders>
            <w:hideMark/>
          </w:tcPr>
          <w:p w14:paraId="6A59E55E" w14:textId="77777777" w:rsidR="00E1751E" w:rsidRPr="00E1751E" w:rsidRDefault="00E1751E" w:rsidP="00E1751E">
            <w:pPr>
              <w:numPr>
                <w:ilvl w:val="0"/>
                <w:numId w:val="2"/>
              </w:numPr>
              <w:rPr>
                <w:lang w:val="en-US"/>
              </w:rPr>
            </w:pPr>
            <w:r w:rsidRPr="00E1751E">
              <w:rPr>
                <w:lang w:val="en-US"/>
              </w:rPr>
              <w:t>Physical disability.</w:t>
            </w:r>
          </w:p>
          <w:p w14:paraId="15C14841" w14:textId="77777777" w:rsidR="00E1751E" w:rsidRPr="00E1751E" w:rsidRDefault="00E1751E" w:rsidP="00E1751E">
            <w:pPr>
              <w:numPr>
                <w:ilvl w:val="0"/>
                <w:numId w:val="2"/>
              </w:numPr>
              <w:rPr>
                <w:lang w:val="en-US"/>
              </w:rPr>
            </w:pPr>
            <w:r w:rsidRPr="00E1751E">
              <w:rPr>
                <w:lang w:val="en-US"/>
              </w:rPr>
              <w:t>Severe or long- term illness.</w:t>
            </w:r>
          </w:p>
          <w:p w14:paraId="32FD97D1" w14:textId="77777777" w:rsidR="00E1751E" w:rsidRPr="00E1751E" w:rsidRDefault="00E1751E" w:rsidP="00E1751E">
            <w:pPr>
              <w:numPr>
                <w:ilvl w:val="0"/>
                <w:numId w:val="2"/>
              </w:numPr>
              <w:rPr>
                <w:lang w:val="en-US"/>
              </w:rPr>
            </w:pPr>
            <w:r w:rsidRPr="00E1751E">
              <w:rPr>
                <w:lang w:val="en-US"/>
              </w:rPr>
              <w:t>Hearing or visual impairment.</w:t>
            </w:r>
          </w:p>
          <w:p w14:paraId="45B5FB3A" w14:textId="77777777" w:rsidR="00E1751E" w:rsidRPr="00E1751E" w:rsidRDefault="00E1751E" w:rsidP="00E1751E">
            <w:pPr>
              <w:numPr>
                <w:ilvl w:val="0"/>
                <w:numId w:val="2"/>
              </w:numPr>
              <w:rPr>
                <w:lang w:val="en-US"/>
              </w:rPr>
            </w:pPr>
            <w:r w:rsidRPr="00E1751E">
              <w:rPr>
                <w:lang w:val="en-US"/>
              </w:rPr>
              <w:t>Poor mental health.</w:t>
            </w:r>
          </w:p>
          <w:p w14:paraId="7173B2CA" w14:textId="77777777" w:rsidR="00E1751E" w:rsidRPr="00E1751E" w:rsidRDefault="00E1751E" w:rsidP="00E1751E">
            <w:pPr>
              <w:numPr>
                <w:ilvl w:val="0"/>
                <w:numId w:val="2"/>
              </w:numPr>
              <w:rPr>
                <w:lang w:val="en-US"/>
              </w:rPr>
            </w:pPr>
            <w:r w:rsidRPr="00E1751E">
              <w:rPr>
                <w:lang w:val="en-US"/>
              </w:rPr>
              <w:t>Addiction.</w:t>
            </w:r>
          </w:p>
          <w:p w14:paraId="7E9EDD99" w14:textId="77777777" w:rsidR="00E1751E" w:rsidRPr="00E1751E" w:rsidRDefault="00E1751E" w:rsidP="00E1751E">
            <w:pPr>
              <w:numPr>
                <w:ilvl w:val="0"/>
                <w:numId w:val="2"/>
              </w:numPr>
              <w:rPr>
                <w:lang w:val="en-US"/>
              </w:rPr>
            </w:pPr>
            <w:r w:rsidRPr="00E1751E">
              <w:rPr>
                <w:lang w:val="en-US"/>
              </w:rPr>
              <w:t>Low mental capacity or cognitive impairment.</w:t>
            </w:r>
          </w:p>
        </w:tc>
        <w:tc>
          <w:tcPr>
            <w:tcW w:w="3121" w:type="dxa"/>
            <w:tcBorders>
              <w:top w:val="single" w:sz="4" w:space="0" w:color="6A7379"/>
              <w:left w:val="single" w:sz="4" w:space="0" w:color="6A7379"/>
              <w:bottom w:val="single" w:sz="4" w:space="0" w:color="6A7379"/>
              <w:right w:val="single" w:sz="4" w:space="0" w:color="6A7379"/>
            </w:tcBorders>
            <w:hideMark/>
          </w:tcPr>
          <w:p w14:paraId="2FA83E47" w14:textId="77777777" w:rsidR="00E1751E" w:rsidRPr="00E1751E" w:rsidRDefault="00E1751E" w:rsidP="00E1751E">
            <w:pPr>
              <w:numPr>
                <w:ilvl w:val="0"/>
                <w:numId w:val="3"/>
              </w:numPr>
              <w:rPr>
                <w:lang w:val="en-US"/>
              </w:rPr>
            </w:pPr>
            <w:r w:rsidRPr="00E1751E">
              <w:rPr>
                <w:lang w:val="en-US"/>
              </w:rPr>
              <w:t>Retirement.</w:t>
            </w:r>
          </w:p>
          <w:p w14:paraId="646A01D5" w14:textId="77777777" w:rsidR="00E1751E" w:rsidRPr="00E1751E" w:rsidRDefault="00E1751E" w:rsidP="00E1751E">
            <w:pPr>
              <w:numPr>
                <w:ilvl w:val="0"/>
                <w:numId w:val="3"/>
              </w:numPr>
              <w:rPr>
                <w:lang w:val="en-US"/>
              </w:rPr>
            </w:pPr>
            <w:r w:rsidRPr="00E1751E">
              <w:rPr>
                <w:lang w:val="en-US"/>
              </w:rPr>
              <w:t>Bereavement.</w:t>
            </w:r>
          </w:p>
          <w:p w14:paraId="51D532A0" w14:textId="77777777" w:rsidR="00E1751E" w:rsidRPr="00E1751E" w:rsidRDefault="00E1751E" w:rsidP="00E1751E">
            <w:pPr>
              <w:numPr>
                <w:ilvl w:val="0"/>
                <w:numId w:val="3"/>
              </w:numPr>
              <w:rPr>
                <w:lang w:val="en-US"/>
              </w:rPr>
            </w:pPr>
            <w:r w:rsidRPr="00E1751E">
              <w:rPr>
                <w:lang w:val="en-US"/>
              </w:rPr>
              <w:t>Income Shock.</w:t>
            </w:r>
          </w:p>
          <w:p w14:paraId="7B0413B1" w14:textId="77777777" w:rsidR="00E1751E" w:rsidRPr="00E1751E" w:rsidRDefault="00E1751E" w:rsidP="00E1751E">
            <w:pPr>
              <w:numPr>
                <w:ilvl w:val="0"/>
                <w:numId w:val="3"/>
              </w:numPr>
              <w:rPr>
                <w:lang w:val="en-US"/>
              </w:rPr>
            </w:pPr>
            <w:r w:rsidRPr="00E1751E">
              <w:rPr>
                <w:lang w:val="en-US"/>
              </w:rPr>
              <w:t>Relationship Shock.</w:t>
            </w:r>
          </w:p>
          <w:p w14:paraId="667458E5" w14:textId="77777777" w:rsidR="00E1751E" w:rsidRPr="00E1751E" w:rsidRDefault="00E1751E" w:rsidP="00E1751E">
            <w:pPr>
              <w:numPr>
                <w:ilvl w:val="0"/>
                <w:numId w:val="3"/>
              </w:numPr>
              <w:rPr>
                <w:lang w:val="en-US"/>
              </w:rPr>
            </w:pPr>
            <w:r w:rsidRPr="00E1751E">
              <w:rPr>
                <w:lang w:val="en-US"/>
              </w:rPr>
              <w:t>Domestic abuse.</w:t>
            </w:r>
          </w:p>
          <w:p w14:paraId="1883431A" w14:textId="77777777" w:rsidR="00E1751E" w:rsidRPr="00E1751E" w:rsidRDefault="00E1751E" w:rsidP="00E1751E">
            <w:pPr>
              <w:numPr>
                <w:ilvl w:val="0"/>
                <w:numId w:val="3"/>
              </w:numPr>
              <w:rPr>
                <w:lang w:val="en-US"/>
              </w:rPr>
            </w:pPr>
            <w:r w:rsidRPr="00E1751E">
              <w:rPr>
                <w:lang w:val="en-US"/>
              </w:rPr>
              <w:t>Caring responsibilities</w:t>
            </w:r>
          </w:p>
          <w:p w14:paraId="7EB20439" w14:textId="77777777" w:rsidR="00E1751E" w:rsidRPr="00E1751E" w:rsidRDefault="00E1751E" w:rsidP="00E1751E">
            <w:pPr>
              <w:numPr>
                <w:ilvl w:val="0"/>
                <w:numId w:val="3"/>
              </w:numPr>
              <w:rPr>
                <w:lang w:val="en-US"/>
              </w:rPr>
            </w:pPr>
            <w:r w:rsidRPr="00E1751E">
              <w:rPr>
                <w:lang w:val="en-US"/>
              </w:rPr>
              <w:t>People with non-</w:t>
            </w:r>
            <w:proofErr w:type="gramStart"/>
            <w:r w:rsidRPr="00E1751E">
              <w:rPr>
                <w:lang w:val="en-US"/>
              </w:rPr>
              <w:t>standard</w:t>
            </w:r>
            <w:proofErr w:type="gramEnd"/>
          </w:p>
          <w:p w14:paraId="0E58FF5D" w14:textId="77777777" w:rsidR="00E1751E" w:rsidRPr="00E1751E" w:rsidRDefault="00E1751E" w:rsidP="00E1751E">
            <w:pPr>
              <w:numPr>
                <w:ilvl w:val="0"/>
                <w:numId w:val="3"/>
              </w:numPr>
              <w:rPr>
                <w:lang w:val="en-US"/>
              </w:rPr>
            </w:pPr>
            <w:r w:rsidRPr="00E1751E">
              <w:rPr>
                <w:lang w:val="en-US"/>
              </w:rPr>
              <w:t>requirements such as people with convictions, care leavers and refugees.</w:t>
            </w:r>
          </w:p>
          <w:p w14:paraId="0749419E" w14:textId="77777777" w:rsidR="00E1751E" w:rsidRPr="00E1751E" w:rsidRDefault="00E1751E" w:rsidP="00E1751E">
            <w:pPr>
              <w:numPr>
                <w:ilvl w:val="0"/>
                <w:numId w:val="3"/>
              </w:numPr>
              <w:rPr>
                <w:lang w:val="en-US"/>
              </w:rPr>
            </w:pPr>
            <w:r w:rsidRPr="00E1751E">
              <w:rPr>
                <w:lang w:val="en-US"/>
              </w:rPr>
              <w:lastRenderedPageBreak/>
              <w:t>Significant financial gain – inheritance / lottery win.</w:t>
            </w:r>
          </w:p>
        </w:tc>
        <w:tc>
          <w:tcPr>
            <w:tcW w:w="2468" w:type="dxa"/>
            <w:tcBorders>
              <w:top w:val="single" w:sz="4" w:space="0" w:color="6A7379"/>
              <w:left w:val="single" w:sz="4" w:space="0" w:color="6A7379"/>
              <w:bottom w:val="single" w:sz="4" w:space="0" w:color="6A7379"/>
              <w:right w:val="single" w:sz="4" w:space="0" w:color="6A7379"/>
            </w:tcBorders>
            <w:hideMark/>
          </w:tcPr>
          <w:p w14:paraId="20671208" w14:textId="77777777" w:rsidR="00E1751E" w:rsidRPr="00E1751E" w:rsidRDefault="00E1751E" w:rsidP="00E1751E">
            <w:pPr>
              <w:numPr>
                <w:ilvl w:val="0"/>
                <w:numId w:val="4"/>
              </w:numPr>
              <w:rPr>
                <w:lang w:val="en-US"/>
              </w:rPr>
            </w:pPr>
            <w:r w:rsidRPr="00E1751E">
              <w:rPr>
                <w:lang w:val="en-US"/>
              </w:rPr>
              <w:lastRenderedPageBreak/>
              <w:t>Low or erratic income.</w:t>
            </w:r>
          </w:p>
          <w:p w14:paraId="2D2B8942" w14:textId="77777777" w:rsidR="00E1751E" w:rsidRPr="00E1751E" w:rsidRDefault="00E1751E" w:rsidP="00E1751E">
            <w:pPr>
              <w:numPr>
                <w:ilvl w:val="0"/>
                <w:numId w:val="4"/>
              </w:numPr>
              <w:rPr>
                <w:lang w:val="en-US"/>
              </w:rPr>
            </w:pPr>
            <w:r w:rsidRPr="00E1751E">
              <w:rPr>
                <w:lang w:val="en-US"/>
              </w:rPr>
              <w:t>Low emotional resilience.</w:t>
            </w:r>
          </w:p>
          <w:p w14:paraId="7A3D8656" w14:textId="77777777" w:rsidR="00E1751E" w:rsidRPr="00E1751E" w:rsidRDefault="00E1751E" w:rsidP="00E1751E">
            <w:pPr>
              <w:numPr>
                <w:ilvl w:val="0"/>
                <w:numId w:val="4"/>
              </w:numPr>
              <w:rPr>
                <w:lang w:val="en-US"/>
              </w:rPr>
            </w:pPr>
            <w:r w:rsidRPr="00E1751E">
              <w:rPr>
                <w:lang w:val="en-US"/>
              </w:rPr>
              <w:t>Over indebtedness.</w:t>
            </w:r>
          </w:p>
          <w:p w14:paraId="25577785" w14:textId="77777777" w:rsidR="00E1751E" w:rsidRPr="00E1751E" w:rsidRDefault="00E1751E" w:rsidP="00E1751E">
            <w:pPr>
              <w:numPr>
                <w:ilvl w:val="0"/>
                <w:numId w:val="4"/>
              </w:numPr>
              <w:rPr>
                <w:lang w:val="en-US"/>
              </w:rPr>
            </w:pPr>
            <w:r w:rsidRPr="00E1751E">
              <w:rPr>
                <w:lang w:val="en-US"/>
              </w:rPr>
              <w:t>Low savings.</w:t>
            </w:r>
          </w:p>
        </w:tc>
        <w:tc>
          <w:tcPr>
            <w:tcW w:w="2492" w:type="dxa"/>
            <w:tcBorders>
              <w:top w:val="single" w:sz="4" w:space="0" w:color="6A7379"/>
              <w:left w:val="single" w:sz="4" w:space="0" w:color="6A7379"/>
              <w:bottom w:val="single" w:sz="4" w:space="0" w:color="6A7379"/>
              <w:right w:val="single" w:sz="4" w:space="0" w:color="6A7379"/>
            </w:tcBorders>
            <w:hideMark/>
          </w:tcPr>
          <w:p w14:paraId="279100E9" w14:textId="77777777" w:rsidR="00E1751E" w:rsidRPr="00E1751E" w:rsidRDefault="00E1751E" w:rsidP="00E1751E">
            <w:pPr>
              <w:numPr>
                <w:ilvl w:val="0"/>
                <w:numId w:val="5"/>
              </w:numPr>
              <w:rPr>
                <w:lang w:val="en-US"/>
              </w:rPr>
            </w:pPr>
            <w:r w:rsidRPr="00E1751E">
              <w:rPr>
                <w:lang w:val="en-US"/>
              </w:rPr>
              <w:t>Low financial capability skills.</w:t>
            </w:r>
          </w:p>
          <w:p w14:paraId="00DCAB16" w14:textId="77777777" w:rsidR="00E1751E" w:rsidRPr="00E1751E" w:rsidRDefault="00E1751E" w:rsidP="00E1751E">
            <w:pPr>
              <w:numPr>
                <w:ilvl w:val="0"/>
                <w:numId w:val="5"/>
              </w:numPr>
              <w:rPr>
                <w:lang w:val="en-US"/>
              </w:rPr>
            </w:pPr>
            <w:r w:rsidRPr="00E1751E">
              <w:rPr>
                <w:lang w:val="en-US"/>
              </w:rPr>
              <w:t>Poor literacy and numeracy skills.</w:t>
            </w:r>
          </w:p>
          <w:p w14:paraId="2C9C2690" w14:textId="77777777" w:rsidR="00E1751E" w:rsidRPr="00E1751E" w:rsidRDefault="00E1751E" w:rsidP="00E1751E">
            <w:pPr>
              <w:numPr>
                <w:ilvl w:val="0"/>
                <w:numId w:val="5"/>
              </w:numPr>
              <w:rPr>
                <w:lang w:val="en-US"/>
              </w:rPr>
            </w:pPr>
            <w:r w:rsidRPr="00E1751E">
              <w:rPr>
                <w:lang w:val="en-US"/>
              </w:rPr>
              <w:t>Low English language skills.</w:t>
            </w:r>
          </w:p>
          <w:p w14:paraId="7D80254C" w14:textId="77777777" w:rsidR="00E1751E" w:rsidRPr="00E1751E" w:rsidRDefault="00E1751E" w:rsidP="00E1751E">
            <w:pPr>
              <w:numPr>
                <w:ilvl w:val="0"/>
                <w:numId w:val="5"/>
              </w:numPr>
              <w:rPr>
                <w:lang w:val="en-US"/>
              </w:rPr>
            </w:pPr>
            <w:r w:rsidRPr="00E1751E">
              <w:rPr>
                <w:lang w:val="en-US"/>
              </w:rPr>
              <w:t>Poor or non</w:t>
            </w:r>
            <w:proofErr w:type="gramStart"/>
            <w:r w:rsidRPr="00E1751E">
              <w:rPr>
                <w:lang w:val="en-US"/>
              </w:rPr>
              <w:t>- existent</w:t>
            </w:r>
            <w:proofErr w:type="gramEnd"/>
            <w:r w:rsidRPr="00E1751E">
              <w:rPr>
                <w:lang w:val="en-US"/>
              </w:rPr>
              <w:t xml:space="preserve"> digital skills.</w:t>
            </w:r>
          </w:p>
          <w:p w14:paraId="3823C8C9" w14:textId="77777777" w:rsidR="00E1751E" w:rsidRPr="00E1751E" w:rsidRDefault="00E1751E" w:rsidP="00E1751E">
            <w:pPr>
              <w:numPr>
                <w:ilvl w:val="0"/>
                <w:numId w:val="5"/>
              </w:numPr>
              <w:rPr>
                <w:lang w:val="en-US"/>
              </w:rPr>
            </w:pPr>
            <w:r w:rsidRPr="00E1751E">
              <w:rPr>
                <w:lang w:val="en-US"/>
              </w:rPr>
              <w:t>Learning impairments.</w:t>
            </w:r>
          </w:p>
          <w:p w14:paraId="4FDAA61A" w14:textId="77777777" w:rsidR="00E1751E" w:rsidRPr="00E1751E" w:rsidRDefault="00E1751E" w:rsidP="00E1751E">
            <w:pPr>
              <w:numPr>
                <w:ilvl w:val="0"/>
                <w:numId w:val="5"/>
              </w:numPr>
              <w:rPr>
                <w:lang w:val="en-US"/>
              </w:rPr>
            </w:pPr>
            <w:r w:rsidRPr="00E1751E">
              <w:rPr>
                <w:lang w:val="en-US"/>
              </w:rPr>
              <w:t>No or low access to help or support.</w:t>
            </w:r>
          </w:p>
        </w:tc>
      </w:tr>
    </w:tbl>
    <w:p w14:paraId="410DA5B8" w14:textId="77777777" w:rsidR="00E1751E" w:rsidRPr="00E1751E" w:rsidRDefault="00E1751E" w:rsidP="00E1751E"/>
    <w:p w14:paraId="5EBA3272" w14:textId="22762246" w:rsidR="00E1751E" w:rsidRPr="00E1751E" w:rsidRDefault="00E1751E" w:rsidP="00E1751E">
      <w:pPr>
        <w:rPr>
          <w:lang w:val="en-US"/>
        </w:rPr>
      </w:pPr>
      <w:r>
        <w:rPr>
          <w:lang w:val="en-US"/>
        </w:rPr>
        <w:t xml:space="preserve">Other </w:t>
      </w:r>
      <w:r w:rsidRPr="00E1751E">
        <w:rPr>
          <w:lang w:val="en-US"/>
        </w:rPr>
        <w:t>factors which would prompt us to consider a client to be vulnerable:</w:t>
      </w:r>
    </w:p>
    <w:p w14:paraId="282E2F5C" w14:textId="77777777" w:rsidR="00E1751E" w:rsidRPr="00E1751E" w:rsidRDefault="00E1751E" w:rsidP="00E1751E">
      <w:pPr>
        <w:numPr>
          <w:ilvl w:val="0"/>
          <w:numId w:val="1"/>
        </w:numPr>
        <w:rPr>
          <w:lang w:val="en-US"/>
        </w:rPr>
      </w:pPr>
      <w:r w:rsidRPr="00E1751E">
        <w:rPr>
          <w:lang w:val="en-US"/>
        </w:rPr>
        <w:t>Being ‘older old’ (for example over 80) although this is not absolute – this could be associated with cognitive or dexterity impairment, sensory impairments such as hearing or sight, onset of ill-health, not being comfortable with technology)</w:t>
      </w:r>
    </w:p>
    <w:p w14:paraId="0EDB9E23" w14:textId="77777777" w:rsidR="00E1751E" w:rsidRPr="00E1751E" w:rsidRDefault="00E1751E" w:rsidP="00E1751E">
      <w:pPr>
        <w:numPr>
          <w:ilvl w:val="0"/>
          <w:numId w:val="1"/>
        </w:numPr>
        <w:rPr>
          <w:lang w:val="en-US"/>
        </w:rPr>
      </w:pPr>
      <w:r w:rsidRPr="00E1751E">
        <w:rPr>
          <w:lang w:val="en-US"/>
        </w:rPr>
        <w:t>Not possessing standard documents or credit history (for example armed forces personnel returning from abroad, ex-offenders, care-home leavers).</w:t>
      </w:r>
    </w:p>
    <w:p w14:paraId="1A4E63A8" w14:textId="77777777" w:rsidR="00E1751E" w:rsidRPr="00E1751E" w:rsidRDefault="00E1751E" w:rsidP="00E1751E">
      <w:pPr>
        <w:numPr>
          <w:ilvl w:val="0"/>
          <w:numId w:val="1"/>
        </w:numPr>
        <w:rPr>
          <w:lang w:val="en-US"/>
        </w:rPr>
      </w:pPr>
      <w:r w:rsidRPr="00E1751E">
        <w:rPr>
          <w:lang w:val="en-US"/>
        </w:rPr>
        <w:t xml:space="preserve">Clients </w:t>
      </w:r>
      <w:proofErr w:type="gramStart"/>
      <w:r w:rsidRPr="00E1751E">
        <w:rPr>
          <w:lang w:val="en-US"/>
        </w:rPr>
        <w:t>adversely</w:t>
      </w:r>
      <w:proofErr w:type="gramEnd"/>
      <w:r w:rsidRPr="00E1751E">
        <w:rPr>
          <w:lang w:val="en-US"/>
        </w:rPr>
        <w:t xml:space="preserve"> affected by the rising cost of living.</w:t>
      </w:r>
    </w:p>
    <w:p w14:paraId="4C51EDAF" w14:textId="77777777" w:rsidR="00E1751E" w:rsidRPr="00E1751E" w:rsidRDefault="00E1751E" w:rsidP="00E1751E">
      <w:pPr>
        <w:rPr>
          <w:lang w:val="en-US"/>
        </w:rPr>
      </w:pPr>
      <w:r w:rsidRPr="00E1751E">
        <w:rPr>
          <w:lang w:val="en-US"/>
        </w:rPr>
        <w:t>The presence of one or more of the above factors does not necessarily mean that the client is vulnerable. These factors can impact clients in different ways. One client might have circumstances which result in a permanent significant vulnerability while another not be impacted at all by the circumstance they have been exposed to. The impact of a factor on a client will determine our approach to dealing with that client.</w:t>
      </w:r>
    </w:p>
    <w:p w14:paraId="039A2B96" w14:textId="77777777" w:rsidR="00E1751E" w:rsidRPr="00E1751E" w:rsidRDefault="00E1751E" w:rsidP="00E1751E">
      <w:pPr>
        <w:rPr>
          <w:lang w:val="en-US"/>
        </w:rPr>
      </w:pPr>
      <w:r w:rsidRPr="00E1751E">
        <w:rPr>
          <w:lang w:val="en-US"/>
        </w:rPr>
        <w:t>Each adviser/support staff member will need to assess their client’s personal circumstances and ensure that every client is treated individually and with respect and empathy. Any concerns around assessing clients should be referred to Jeremy Lock, Compliance Director.</w:t>
      </w:r>
    </w:p>
    <w:p w14:paraId="681672EC" w14:textId="77777777" w:rsidR="00E1751E" w:rsidRPr="00E1751E" w:rsidRDefault="00E1751E" w:rsidP="00E1751E">
      <w:pPr>
        <w:rPr>
          <w:color w:val="A58DC0"/>
          <w:lang w:val="en-US"/>
        </w:rPr>
      </w:pPr>
      <w:bookmarkStart w:id="3" w:name="Training"/>
      <w:bookmarkEnd w:id="3"/>
      <w:r w:rsidRPr="00E1751E">
        <w:rPr>
          <w:color w:val="A58DC0"/>
          <w:lang w:val="en-US"/>
        </w:rPr>
        <w:t>Training</w:t>
      </w:r>
    </w:p>
    <w:p w14:paraId="4043B68E" w14:textId="77777777" w:rsidR="00E1751E" w:rsidRPr="00E1751E" w:rsidRDefault="00E1751E" w:rsidP="00E1751E">
      <w:pPr>
        <w:rPr>
          <w:lang w:val="en-US"/>
        </w:rPr>
      </w:pPr>
      <w:r w:rsidRPr="00E1751E">
        <w:rPr>
          <w:lang w:val="en-US"/>
        </w:rPr>
        <w:t>We will make all staff aware of this policy when they join our firm.</w:t>
      </w:r>
    </w:p>
    <w:p w14:paraId="00BF31DE" w14:textId="77777777" w:rsidR="00E1751E" w:rsidRPr="00E1751E" w:rsidRDefault="00E1751E" w:rsidP="00E1751E">
      <w:pPr>
        <w:rPr>
          <w:lang w:val="en-US"/>
        </w:rPr>
      </w:pPr>
      <w:r w:rsidRPr="00E1751E">
        <w:rPr>
          <w:lang w:val="en-US"/>
        </w:rPr>
        <w:t xml:space="preserve">All staff will also be given training </w:t>
      </w:r>
      <w:proofErr w:type="gramStart"/>
      <w:r w:rsidRPr="00E1751E">
        <w:rPr>
          <w:lang w:val="en-US"/>
        </w:rPr>
        <w:t>on</w:t>
      </w:r>
      <w:proofErr w:type="gramEnd"/>
      <w:r w:rsidRPr="00E1751E">
        <w:rPr>
          <w:lang w:val="en-US"/>
        </w:rPr>
        <w:t xml:space="preserve"> identifying and dealing with vulnerable clients upon joining and on an annual basis.</w:t>
      </w:r>
    </w:p>
    <w:p w14:paraId="41E8C1AD" w14:textId="77777777" w:rsidR="00E1751E" w:rsidRPr="00E1751E" w:rsidRDefault="00E1751E" w:rsidP="00E1751E">
      <w:pPr>
        <w:rPr>
          <w:lang w:val="en-US"/>
        </w:rPr>
      </w:pPr>
      <w:r w:rsidRPr="00E1751E">
        <w:rPr>
          <w:lang w:val="en-US"/>
        </w:rPr>
        <w:t>Our training will include:</w:t>
      </w:r>
    </w:p>
    <w:p w14:paraId="195AF440" w14:textId="77777777" w:rsidR="00E1751E" w:rsidRPr="00E1751E" w:rsidRDefault="00E1751E" w:rsidP="00E1751E">
      <w:pPr>
        <w:numPr>
          <w:ilvl w:val="0"/>
          <w:numId w:val="1"/>
        </w:numPr>
        <w:rPr>
          <w:lang w:val="en-US"/>
        </w:rPr>
      </w:pPr>
      <w:r w:rsidRPr="00E1751E">
        <w:rPr>
          <w:lang w:val="en-US"/>
        </w:rPr>
        <w:t>How to identify a vulnerable client and how to deal with them, which office systems to use and update.</w:t>
      </w:r>
    </w:p>
    <w:p w14:paraId="5D1B781C" w14:textId="156CC1B9" w:rsidR="00E1751E" w:rsidRPr="00E1751E" w:rsidRDefault="00E1751E" w:rsidP="00E1751E">
      <w:pPr>
        <w:numPr>
          <w:ilvl w:val="0"/>
          <w:numId w:val="1"/>
        </w:numPr>
        <w:rPr>
          <w:lang w:val="en-US"/>
        </w:rPr>
      </w:pPr>
      <w:r w:rsidRPr="00E1751E">
        <w:rPr>
          <w:lang w:val="en-US"/>
        </w:rPr>
        <w:t>Annual Testing, which is monitored by the T&amp;C Team.</w:t>
      </w:r>
      <w:bookmarkStart w:id="4" w:name="Enabling_vulnerable_customers_to_disclos"/>
      <w:bookmarkEnd w:id="4"/>
    </w:p>
    <w:p w14:paraId="01DBB420" w14:textId="77777777" w:rsidR="00E1751E" w:rsidRPr="00E1751E" w:rsidRDefault="00E1751E" w:rsidP="00E1751E">
      <w:pPr>
        <w:rPr>
          <w:b/>
          <w:bCs/>
          <w:color w:val="A58DC0"/>
          <w:lang w:val="en-US"/>
        </w:rPr>
      </w:pPr>
      <w:r w:rsidRPr="00E1751E">
        <w:rPr>
          <w:b/>
          <w:bCs/>
          <w:color w:val="A58DC0"/>
          <w:lang w:val="en-US"/>
        </w:rPr>
        <w:lastRenderedPageBreak/>
        <w:t>Enabling vulnerable customers to disclose their needs</w:t>
      </w:r>
    </w:p>
    <w:p w14:paraId="7DBE78B9" w14:textId="77777777" w:rsidR="00E1751E" w:rsidRPr="00E1751E" w:rsidRDefault="00E1751E" w:rsidP="00E1751E">
      <w:pPr>
        <w:rPr>
          <w:b/>
          <w:bCs/>
          <w:color w:val="A58DC0"/>
          <w:lang w:val="en-US"/>
        </w:rPr>
      </w:pPr>
      <w:bookmarkStart w:id="5" w:name="Identifying_a_vulnerable_client"/>
      <w:bookmarkEnd w:id="5"/>
      <w:r w:rsidRPr="00E1751E">
        <w:rPr>
          <w:b/>
          <w:bCs/>
          <w:color w:val="A58DC0"/>
          <w:lang w:val="en-US"/>
        </w:rPr>
        <w:t>Identifying a vulnerable client</w:t>
      </w:r>
    </w:p>
    <w:p w14:paraId="0F2A3A43" w14:textId="77777777" w:rsidR="00E1751E" w:rsidRPr="00E1751E" w:rsidRDefault="00E1751E" w:rsidP="00E1751E">
      <w:pPr>
        <w:rPr>
          <w:lang w:val="en-US"/>
        </w:rPr>
      </w:pPr>
      <w:r w:rsidRPr="00E1751E">
        <w:rPr>
          <w:lang w:val="en-US"/>
        </w:rPr>
        <w:t>To be able to identify if an existing or potential client falls within our definition of a vulnerable client, we have the following processes in place:</w:t>
      </w:r>
    </w:p>
    <w:p w14:paraId="6209C2ED" w14:textId="77777777" w:rsidR="00E1751E" w:rsidRPr="00E1751E" w:rsidRDefault="00E1751E" w:rsidP="00E1751E">
      <w:pPr>
        <w:rPr>
          <w:lang w:val="en-US"/>
        </w:rPr>
      </w:pPr>
      <w:r w:rsidRPr="00E1751E">
        <w:rPr>
          <w:lang w:val="en-US"/>
        </w:rPr>
        <w:t>Our advisers as part of our Know Your Client assessment and Fact Finding.</w:t>
      </w:r>
    </w:p>
    <w:p w14:paraId="6ADFBFF8" w14:textId="4056B39A" w:rsidR="00E1751E" w:rsidRDefault="00E1751E" w:rsidP="00E1751E">
      <w:pPr>
        <w:rPr>
          <w:lang w:val="en-US"/>
        </w:rPr>
      </w:pPr>
      <w:r w:rsidRPr="00E1751E">
        <w:rPr>
          <w:lang w:val="en-US"/>
        </w:rPr>
        <w:t>If you use a Know Your Client assessment, how do your staff undertake this process? For example: We have a Vulnerable Client Assessment form to record specific data.</w:t>
      </w:r>
    </w:p>
    <w:p w14:paraId="20FA4032" w14:textId="61265CB4" w:rsidR="00E1751E" w:rsidRPr="00E1751E" w:rsidRDefault="00E1751E" w:rsidP="00E1751E">
      <w:pPr>
        <w:rPr>
          <w:lang w:val="en-US"/>
        </w:rPr>
      </w:pPr>
      <w:r>
        <w:rPr>
          <w:lang w:val="en-US"/>
        </w:rPr>
        <w:t xml:space="preserve">Staff </w:t>
      </w:r>
      <w:r w:rsidRPr="00E1751E">
        <w:rPr>
          <w:lang w:val="en-US"/>
        </w:rPr>
        <w:t>and advisers watch out for indicators of vulnerability when dealing with clients such as:</w:t>
      </w:r>
    </w:p>
    <w:p w14:paraId="3B7D8F63" w14:textId="77777777" w:rsidR="00E1751E" w:rsidRPr="00E1751E" w:rsidRDefault="00E1751E" w:rsidP="00E1751E">
      <w:pPr>
        <w:numPr>
          <w:ilvl w:val="0"/>
          <w:numId w:val="1"/>
        </w:numPr>
        <w:rPr>
          <w:lang w:val="en-US"/>
        </w:rPr>
      </w:pPr>
      <w:r w:rsidRPr="00E1751E">
        <w:rPr>
          <w:lang w:val="en-US"/>
        </w:rPr>
        <w:t>Regular requests for one off withdrawals</w:t>
      </w:r>
    </w:p>
    <w:p w14:paraId="5AF29EE8" w14:textId="77777777" w:rsidR="00E1751E" w:rsidRPr="00E1751E" w:rsidRDefault="00E1751E" w:rsidP="00E1751E">
      <w:pPr>
        <w:numPr>
          <w:ilvl w:val="0"/>
          <w:numId w:val="1"/>
        </w:numPr>
        <w:rPr>
          <w:lang w:val="en-US"/>
        </w:rPr>
      </w:pPr>
      <w:r w:rsidRPr="00E1751E">
        <w:rPr>
          <w:lang w:val="en-US"/>
        </w:rPr>
        <w:t>Extreme changes in attitude to risk</w:t>
      </w:r>
    </w:p>
    <w:p w14:paraId="28C7113C" w14:textId="77777777" w:rsidR="00E1751E" w:rsidRPr="00E1751E" w:rsidRDefault="00E1751E" w:rsidP="00E1751E">
      <w:pPr>
        <w:numPr>
          <w:ilvl w:val="0"/>
          <w:numId w:val="1"/>
        </w:numPr>
        <w:rPr>
          <w:lang w:val="en-US"/>
        </w:rPr>
      </w:pPr>
      <w:r w:rsidRPr="00E1751E">
        <w:rPr>
          <w:lang w:val="en-US"/>
        </w:rPr>
        <w:t>The language used by client – ‘’I can’t pay’’, ‘’I don’t understand’’</w:t>
      </w:r>
    </w:p>
    <w:p w14:paraId="77ECF44C" w14:textId="77777777" w:rsidR="00E1751E" w:rsidRPr="00E1751E" w:rsidRDefault="00E1751E" w:rsidP="00E1751E">
      <w:pPr>
        <w:numPr>
          <w:ilvl w:val="0"/>
          <w:numId w:val="1"/>
        </w:numPr>
        <w:rPr>
          <w:lang w:val="en-US"/>
        </w:rPr>
      </w:pPr>
      <w:r w:rsidRPr="00E1751E">
        <w:rPr>
          <w:lang w:val="en-US"/>
        </w:rPr>
        <w:t>Physical signs – agitation, shortness of breath, mention of medical treatment</w:t>
      </w:r>
    </w:p>
    <w:p w14:paraId="58650F14" w14:textId="77777777" w:rsidR="00E1751E" w:rsidRPr="00E1751E" w:rsidRDefault="00E1751E" w:rsidP="00E1751E">
      <w:pPr>
        <w:numPr>
          <w:ilvl w:val="0"/>
          <w:numId w:val="1"/>
        </w:numPr>
        <w:rPr>
          <w:lang w:val="en-US"/>
        </w:rPr>
      </w:pPr>
      <w:r w:rsidRPr="00E1751E">
        <w:rPr>
          <w:lang w:val="en-US"/>
        </w:rPr>
        <w:t xml:space="preserve">Responsibility </w:t>
      </w:r>
      <w:proofErr w:type="gramStart"/>
      <w:r w:rsidRPr="00E1751E">
        <w:rPr>
          <w:lang w:val="en-US"/>
        </w:rPr>
        <w:t>of</w:t>
      </w:r>
      <w:proofErr w:type="gramEnd"/>
      <w:r w:rsidRPr="00E1751E">
        <w:rPr>
          <w:lang w:val="en-US"/>
        </w:rPr>
        <w:t xml:space="preserve"> identifying a vulnerable client is incumbent to all staff and advisers.</w:t>
      </w:r>
    </w:p>
    <w:p w14:paraId="00CA5E96" w14:textId="093AFEDD" w:rsidR="00E1751E" w:rsidRPr="00E1751E" w:rsidRDefault="00E1751E" w:rsidP="00E1751E">
      <w:pPr>
        <w:numPr>
          <w:ilvl w:val="0"/>
          <w:numId w:val="1"/>
        </w:numPr>
        <w:rPr>
          <w:lang w:val="en-US"/>
        </w:rPr>
      </w:pPr>
      <w:r w:rsidRPr="00E1751E">
        <w:rPr>
          <w:lang w:val="en-US"/>
        </w:rPr>
        <w:t>If we identify a client as being vulnerable, we will treat them in line with the steps noted below under the heading ‘Dealing with a vulnerable client with empathy’.</w:t>
      </w:r>
    </w:p>
    <w:p w14:paraId="6E9B4654" w14:textId="77777777" w:rsidR="00E1751E" w:rsidRPr="00E1751E" w:rsidRDefault="00E1751E" w:rsidP="00E1751E">
      <w:pPr>
        <w:rPr>
          <w:b/>
          <w:bCs/>
          <w:color w:val="A58DC0"/>
          <w:lang w:val="en-US"/>
        </w:rPr>
      </w:pPr>
      <w:bookmarkStart w:id="6" w:name="Capturing_data_on_client_needs"/>
      <w:bookmarkEnd w:id="6"/>
      <w:r w:rsidRPr="00E1751E">
        <w:rPr>
          <w:b/>
          <w:bCs/>
          <w:color w:val="A58DC0"/>
          <w:lang w:val="en-US"/>
        </w:rPr>
        <w:t>Capturing data on client needs</w:t>
      </w:r>
    </w:p>
    <w:p w14:paraId="72C05607" w14:textId="375017FD" w:rsidR="00E1751E" w:rsidRPr="00E1751E" w:rsidRDefault="00E1751E" w:rsidP="00E1751E">
      <w:pPr>
        <w:rPr>
          <w:lang w:val="en-US"/>
        </w:rPr>
      </w:pPr>
      <w:r w:rsidRPr="00E1751E">
        <w:rPr>
          <w:lang w:val="en-US"/>
        </w:rPr>
        <w:t>As part of delivering financial services to vulnerable clients, we will gather detailed information from them, especially about their physical and / or mental health. This information will be dealt with in accordance with our data protection policy.</w:t>
      </w:r>
    </w:p>
    <w:p w14:paraId="46EF3A2C" w14:textId="16B50520" w:rsidR="00E1751E" w:rsidRPr="00E1751E" w:rsidRDefault="00E1751E" w:rsidP="00E1751E">
      <w:pPr>
        <w:rPr>
          <w:lang w:val="en-US"/>
        </w:rPr>
      </w:pPr>
      <w:r w:rsidRPr="00E1751E">
        <w:rPr>
          <w:lang w:val="en-US"/>
        </w:rPr>
        <w:t xml:space="preserve">Documentation of a customer’s vulnerability is </w:t>
      </w:r>
      <w:proofErr w:type="gramStart"/>
      <w:r w:rsidRPr="00E1751E">
        <w:rPr>
          <w:lang w:val="en-US"/>
        </w:rPr>
        <w:t>held</w:t>
      </w:r>
      <w:proofErr w:type="gramEnd"/>
      <w:r w:rsidRPr="00E1751E">
        <w:rPr>
          <w:lang w:val="en-US"/>
        </w:rPr>
        <w:t xml:space="preserve"> in our Mortgage Magic CRM.</w:t>
      </w:r>
    </w:p>
    <w:p w14:paraId="6910AE2D" w14:textId="399269A7" w:rsidR="00E1751E" w:rsidRPr="00E1751E" w:rsidRDefault="00E1751E" w:rsidP="00E1751E">
      <w:pPr>
        <w:rPr>
          <w:color w:val="A58DC0"/>
          <w:lang w:val="en-US"/>
        </w:rPr>
      </w:pPr>
      <w:bookmarkStart w:id="7" w:name="Being_empathetic_to_the_needs_of_vulnera"/>
      <w:bookmarkEnd w:id="7"/>
      <w:r w:rsidRPr="00E1751E">
        <w:rPr>
          <w:color w:val="A58DC0"/>
          <w:lang w:val="en-US"/>
        </w:rPr>
        <w:t>Being empathetic to the needs of vulnerable clients and flexible in our approach</w:t>
      </w:r>
    </w:p>
    <w:p w14:paraId="3FF6E856" w14:textId="77777777" w:rsidR="00E1751E" w:rsidRPr="00E1751E" w:rsidRDefault="00E1751E" w:rsidP="00E1751E">
      <w:pPr>
        <w:rPr>
          <w:color w:val="A58DC0"/>
          <w:lang w:val="en-US"/>
        </w:rPr>
      </w:pPr>
      <w:bookmarkStart w:id="8" w:name="Dealing_with_a_vulnerable_client_with_em"/>
      <w:bookmarkEnd w:id="8"/>
      <w:r w:rsidRPr="00E1751E">
        <w:rPr>
          <w:color w:val="A58DC0"/>
          <w:lang w:val="en-US"/>
        </w:rPr>
        <w:t>Dealing with a vulnerable client with empathy</w:t>
      </w:r>
    </w:p>
    <w:p w14:paraId="60A43C67" w14:textId="40EBFB04" w:rsidR="00E1751E" w:rsidRPr="00E1751E" w:rsidRDefault="00E1751E" w:rsidP="00E1751E">
      <w:pPr>
        <w:rPr>
          <w:lang w:val="en-US"/>
        </w:rPr>
      </w:pPr>
      <w:r w:rsidRPr="00E1751E">
        <w:rPr>
          <w:lang w:val="en-US"/>
        </w:rPr>
        <w:t xml:space="preserve">We will make sure that in all </w:t>
      </w:r>
      <w:proofErr w:type="gramStart"/>
      <w:r w:rsidRPr="00E1751E">
        <w:rPr>
          <w:lang w:val="en-US"/>
        </w:rPr>
        <w:t>cases,</w:t>
      </w:r>
      <w:proofErr w:type="gramEnd"/>
      <w:r w:rsidRPr="00E1751E">
        <w:rPr>
          <w:lang w:val="en-US"/>
        </w:rPr>
        <w:t xml:space="preserve"> a client has the capacity to understand the advice they are being given. If they don’t and there is no attorney or deputy in place, the advice process will be paused and the case will be referred to Jeremy Lock, Compliance Director.</w:t>
      </w:r>
    </w:p>
    <w:p w14:paraId="17AE1975" w14:textId="77777777" w:rsidR="00E1751E" w:rsidRPr="00E1751E" w:rsidRDefault="00E1751E" w:rsidP="00E1751E">
      <w:pPr>
        <w:rPr>
          <w:lang w:val="en-US"/>
        </w:rPr>
      </w:pPr>
      <w:r w:rsidRPr="00E1751E">
        <w:rPr>
          <w:lang w:val="en-US"/>
        </w:rPr>
        <w:t>In addition to our usual systems &amp; controls, to make sure that we treat all vulnerable clients fairly, we have the following additional processes in place:</w:t>
      </w:r>
    </w:p>
    <w:p w14:paraId="0D134F69" w14:textId="77777777" w:rsidR="00E1751E" w:rsidRPr="00E1751E" w:rsidRDefault="00E1751E" w:rsidP="00E1751E">
      <w:pPr>
        <w:numPr>
          <w:ilvl w:val="0"/>
          <w:numId w:val="1"/>
        </w:numPr>
        <w:rPr>
          <w:b/>
          <w:lang w:val="en-US"/>
        </w:rPr>
      </w:pPr>
      <w:r w:rsidRPr="00E1751E">
        <w:rPr>
          <w:b/>
          <w:lang w:val="en-US"/>
        </w:rPr>
        <w:t>Jeremy Lock, Compliance Director is the nominated person who is responsible for dealing with staff queries about vulnerable clients</w:t>
      </w:r>
    </w:p>
    <w:p w14:paraId="2346C13F" w14:textId="00C41C60" w:rsidR="00E1751E" w:rsidRPr="00E1751E" w:rsidRDefault="00E1751E" w:rsidP="00E1751E">
      <w:pPr>
        <w:numPr>
          <w:ilvl w:val="1"/>
          <w:numId w:val="1"/>
        </w:numPr>
        <w:rPr>
          <w:lang w:val="en-US"/>
        </w:rPr>
      </w:pPr>
      <w:r w:rsidRPr="00E1751E">
        <w:rPr>
          <w:lang w:val="en-US"/>
        </w:rPr>
        <w:t>Alexander Robinson is the Deputy</w:t>
      </w:r>
    </w:p>
    <w:p w14:paraId="6C70543E" w14:textId="77777777" w:rsidR="00E1751E" w:rsidRPr="00E1751E" w:rsidRDefault="00E1751E" w:rsidP="00E1751E">
      <w:pPr>
        <w:rPr>
          <w:b/>
          <w:bCs/>
          <w:color w:val="A58DC0"/>
          <w:lang w:val="en-US"/>
        </w:rPr>
      </w:pPr>
      <w:bookmarkStart w:id="9" w:name="External_support"/>
      <w:bookmarkEnd w:id="9"/>
      <w:r w:rsidRPr="00E1751E">
        <w:rPr>
          <w:b/>
          <w:bCs/>
          <w:color w:val="A58DC0"/>
          <w:lang w:val="en-US"/>
        </w:rPr>
        <w:t>External support</w:t>
      </w:r>
    </w:p>
    <w:p w14:paraId="2C5CBDDE" w14:textId="77777777" w:rsidR="00E1751E" w:rsidRDefault="00E1751E" w:rsidP="00E1751E">
      <w:pPr>
        <w:rPr>
          <w:lang w:val="en-US"/>
        </w:rPr>
      </w:pPr>
      <w:r w:rsidRPr="00E1751E">
        <w:rPr>
          <w:lang w:val="en-US"/>
        </w:rPr>
        <w:t xml:space="preserve">There are many </w:t>
      </w:r>
      <w:proofErr w:type="spellStart"/>
      <w:r w:rsidRPr="00E1751E">
        <w:rPr>
          <w:lang w:val="en-US"/>
        </w:rPr>
        <w:t>organisations</w:t>
      </w:r>
      <w:proofErr w:type="spellEnd"/>
      <w:r w:rsidRPr="00E1751E">
        <w:rPr>
          <w:lang w:val="en-US"/>
        </w:rPr>
        <w:t xml:space="preserve"> that can provide help and support to vulnerable clients. Where appropriate, we will provide </w:t>
      </w:r>
      <w:proofErr w:type="gramStart"/>
      <w:r w:rsidRPr="00E1751E">
        <w:rPr>
          <w:lang w:val="en-US"/>
        </w:rPr>
        <w:t>client</w:t>
      </w:r>
      <w:proofErr w:type="gramEnd"/>
      <w:r w:rsidRPr="00E1751E">
        <w:rPr>
          <w:lang w:val="en-US"/>
        </w:rPr>
        <w:t xml:space="preserve"> relevant contact details.</w:t>
      </w:r>
    </w:p>
    <w:p w14:paraId="3AF4AF6F" w14:textId="7238F3C9" w:rsidR="00E1751E" w:rsidRDefault="00E1751E" w:rsidP="00E1751E">
      <w:pPr>
        <w:rPr>
          <w:lang w:val="en-US"/>
        </w:rPr>
      </w:pPr>
      <w:r>
        <w:rPr>
          <w:lang w:val="en-US"/>
        </w:rPr>
        <w:lastRenderedPageBreak/>
        <w:t>Monitoring outcomes for vulnerable clients</w:t>
      </w:r>
    </w:p>
    <w:p w14:paraId="2A4A1AD1" w14:textId="7E812D5E" w:rsidR="00E1751E" w:rsidRPr="00E1751E" w:rsidRDefault="00E1751E" w:rsidP="00E1751E">
      <w:pPr>
        <w:rPr>
          <w:lang w:val="en-US"/>
        </w:rPr>
      </w:pPr>
      <w:r w:rsidRPr="00E1751E">
        <w:rPr>
          <w:lang w:val="en-US"/>
        </w:rPr>
        <w:t>We will collect management information at different points in the client journey to allow us to understand the</w:t>
      </w:r>
      <w:r>
        <w:rPr>
          <w:lang w:val="en-US"/>
        </w:rPr>
        <w:t xml:space="preserve"> </w:t>
      </w:r>
      <w:r w:rsidRPr="00E1751E">
        <w:rPr>
          <w:lang w:val="en-US"/>
        </w:rPr>
        <w:t>experiences of vulnerable clients and to monitor the outcomes we are delivering.</w:t>
      </w:r>
    </w:p>
    <w:p w14:paraId="5421261A" w14:textId="3CB66C95" w:rsidR="00E1751E" w:rsidRPr="00E1751E" w:rsidRDefault="00E1751E" w:rsidP="00E1751E">
      <w:pPr>
        <w:rPr>
          <w:lang w:val="en-US"/>
        </w:rPr>
      </w:pPr>
      <w:r w:rsidRPr="00E1751E">
        <w:rPr>
          <w:lang w:val="en-US"/>
        </w:rPr>
        <w:t xml:space="preserve">This information will be </w:t>
      </w:r>
      <w:proofErr w:type="spellStart"/>
      <w:r w:rsidRPr="00E1751E">
        <w:rPr>
          <w:lang w:val="en-US"/>
        </w:rPr>
        <w:t>analysed</w:t>
      </w:r>
      <w:proofErr w:type="spellEnd"/>
      <w:r w:rsidRPr="00E1751E">
        <w:rPr>
          <w:lang w:val="en-US"/>
        </w:rPr>
        <w:t xml:space="preserve"> and used to </w:t>
      </w:r>
      <w:proofErr w:type="gramStart"/>
      <w:r w:rsidRPr="00E1751E">
        <w:rPr>
          <w:lang w:val="en-US"/>
        </w:rPr>
        <w:t>drive</w:t>
      </w:r>
      <w:proofErr w:type="gramEnd"/>
      <w:r w:rsidRPr="00E1751E">
        <w:rPr>
          <w:lang w:val="en-US"/>
        </w:rPr>
        <w:t xml:space="preserve"> improvements in our processes.</w:t>
      </w:r>
    </w:p>
    <w:p w14:paraId="51C94B15" w14:textId="3D7051B1" w:rsidR="00E1751E" w:rsidRPr="00E1751E" w:rsidRDefault="00E1751E" w:rsidP="00E1751E">
      <w:pPr>
        <w:rPr>
          <w:lang w:val="en-US"/>
        </w:rPr>
      </w:pPr>
      <w:r w:rsidRPr="00E1751E">
        <w:rPr>
          <w:lang w:val="en-US"/>
        </w:rPr>
        <w:t xml:space="preserve">Board Meetings </w:t>
      </w:r>
      <w:proofErr w:type="gramStart"/>
      <w:r w:rsidRPr="00E1751E">
        <w:rPr>
          <w:lang w:val="en-US"/>
        </w:rPr>
        <w:t>has</w:t>
      </w:r>
      <w:proofErr w:type="gramEnd"/>
      <w:r w:rsidRPr="00E1751E">
        <w:rPr>
          <w:lang w:val="en-US"/>
        </w:rPr>
        <w:t xml:space="preserve"> an agenda point under Consumer Duty to discuss the fair treatment of vulnerable clients.</w:t>
      </w:r>
    </w:p>
    <w:p w14:paraId="32523F85" w14:textId="77777777" w:rsidR="00E1751E" w:rsidRPr="00E1751E" w:rsidRDefault="00E1751E" w:rsidP="00E1751E">
      <w:pPr>
        <w:rPr>
          <w:lang w:val="en-US"/>
        </w:rPr>
      </w:pPr>
      <w:r w:rsidRPr="00E1751E">
        <w:rPr>
          <w:lang w:val="en-US"/>
        </w:rPr>
        <w:t>Our aim is to ensure that our vulnerable clients experience outcomes as good as those experienced by our other clients. To achieve this, we will use the following data sources:</w:t>
      </w:r>
    </w:p>
    <w:p w14:paraId="185B9175" w14:textId="77777777" w:rsidR="00E1751E" w:rsidRPr="00E1751E" w:rsidRDefault="00E1751E" w:rsidP="00E1751E">
      <w:pPr>
        <w:numPr>
          <w:ilvl w:val="0"/>
          <w:numId w:val="1"/>
        </w:numPr>
        <w:rPr>
          <w:lang w:val="en-US"/>
        </w:rPr>
      </w:pPr>
      <w:r w:rsidRPr="00E1751E">
        <w:rPr>
          <w:lang w:val="en-US"/>
        </w:rPr>
        <w:t>Our advice and new business register/back-office system to identify that a client has characteristics of vulnerability.</w:t>
      </w:r>
    </w:p>
    <w:p w14:paraId="0BE7FB91" w14:textId="77777777" w:rsidR="00E1751E" w:rsidRPr="00E1751E" w:rsidRDefault="00E1751E" w:rsidP="00E1751E">
      <w:pPr>
        <w:numPr>
          <w:ilvl w:val="0"/>
          <w:numId w:val="1"/>
        </w:numPr>
        <w:rPr>
          <w:lang w:val="en-US"/>
        </w:rPr>
      </w:pPr>
      <w:r w:rsidRPr="00E1751E">
        <w:rPr>
          <w:lang w:val="en-US"/>
        </w:rPr>
        <w:t>Business persistence: analysis of client retention records – for example, why clients leave, which may flag up where poor treatment is contributing to high turnover of clients.</w:t>
      </w:r>
    </w:p>
    <w:p w14:paraId="5DAA96C8" w14:textId="77777777" w:rsidR="00E1751E" w:rsidRPr="00E1751E" w:rsidRDefault="00E1751E" w:rsidP="00E1751E">
      <w:pPr>
        <w:numPr>
          <w:ilvl w:val="0"/>
          <w:numId w:val="1"/>
        </w:numPr>
        <w:rPr>
          <w:lang w:val="en-US"/>
        </w:rPr>
      </w:pPr>
      <w:r w:rsidRPr="00E1751E">
        <w:rPr>
          <w:lang w:val="en-US"/>
        </w:rPr>
        <w:t>Training and competence records</w:t>
      </w:r>
    </w:p>
    <w:p w14:paraId="74675DD4" w14:textId="77777777" w:rsidR="00E1751E" w:rsidRPr="00E1751E" w:rsidRDefault="00E1751E" w:rsidP="00E1751E">
      <w:pPr>
        <w:numPr>
          <w:ilvl w:val="0"/>
          <w:numId w:val="1"/>
        </w:numPr>
        <w:rPr>
          <w:lang w:val="en-US"/>
        </w:rPr>
      </w:pPr>
      <w:r w:rsidRPr="00E1751E">
        <w:rPr>
          <w:lang w:val="en-US"/>
        </w:rPr>
        <w:t>Client feedback to identify trends and areas for improvement.</w:t>
      </w:r>
    </w:p>
    <w:p w14:paraId="3C8792CA" w14:textId="77777777" w:rsidR="00E1751E" w:rsidRPr="00E1751E" w:rsidRDefault="00E1751E" w:rsidP="00E1751E">
      <w:pPr>
        <w:numPr>
          <w:ilvl w:val="0"/>
          <w:numId w:val="1"/>
        </w:numPr>
        <w:rPr>
          <w:lang w:val="en-US"/>
        </w:rPr>
      </w:pPr>
      <w:r w:rsidRPr="00E1751E">
        <w:rPr>
          <w:lang w:val="en-US"/>
        </w:rPr>
        <w:t>Complaint root cause analysis</w:t>
      </w:r>
    </w:p>
    <w:p w14:paraId="38172421" w14:textId="77777777" w:rsidR="00E1751E" w:rsidRPr="00E1751E" w:rsidRDefault="00E1751E" w:rsidP="00E1751E">
      <w:pPr>
        <w:numPr>
          <w:ilvl w:val="0"/>
          <w:numId w:val="1"/>
        </w:numPr>
        <w:rPr>
          <w:lang w:val="en-US"/>
        </w:rPr>
      </w:pPr>
      <w:r w:rsidRPr="00E1751E">
        <w:rPr>
          <w:lang w:val="en-US"/>
        </w:rPr>
        <w:t>Compliance reports (internal and external) – to check if standards are being met in terms of treating clients fairly and meeting our obligations under the Consumer Duty</w:t>
      </w:r>
    </w:p>
    <w:p w14:paraId="6AD1CA2C" w14:textId="77777777" w:rsidR="00E1751E" w:rsidRPr="00E1751E" w:rsidRDefault="00E1751E" w:rsidP="00E1751E">
      <w:pPr>
        <w:numPr>
          <w:ilvl w:val="0"/>
          <w:numId w:val="1"/>
        </w:numPr>
        <w:rPr>
          <w:lang w:val="en-US"/>
        </w:rPr>
      </w:pPr>
      <w:r w:rsidRPr="00E1751E">
        <w:rPr>
          <w:lang w:val="en-US"/>
        </w:rPr>
        <w:t>File reviews to check for errors and assess if clients were treated fairly (particularly useful for sales processes).</w:t>
      </w:r>
    </w:p>
    <w:p w14:paraId="4C8B4400" w14:textId="51E5F4AE" w:rsidR="00E1751E" w:rsidRPr="00E1751E" w:rsidRDefault="00E1751E" w:rsidP="00E1751E">
      <w:pPr>
        <w:numPr>
          <w:ilvl w:val="0"/>
          <w:numId w:val="1"/>
        </w:numPr>
        <w:rPr>
          <w:lang w:val="en-US"/>
        </w:rPr>
      </w:pPr>
      <w:r w:rsidRPr="00E1751E">
        <w:rPr>
          <w:lang w:val="en-US"/>
        </w:rPr>
        <w:t>We will maintain vulnerable client data of sufficient quality across the firm so that we can identify vulnerable clients and the impact of their vulnerability in all business areas.</w:t>
      </w:r>
    </w:p>
    <w:p w14:paraId="15BC9004" w14:textId="77777777" w:rsidR="00E1751E" w:rsidRPr="00E1751E" w:rsidRDefault="00E1751E" w:rsidP="00E1751E">
      <w:pPr>
        <w:rPr>
          <w:color w:val="A58DC0"/>
          <w:lang w:val="en-US"/>
        </w:rPr>
      </w:pPr>
      <w:bookmarkStart w:id="10" w:name="Reviewing_this_policy"/>
      <w:bookmarkEnd w:id="10"/>
      <w:r w:rsidRPr="00E1751E">
        <w:rPr>
          <w:color w:val="A58DC0"/>
          <w:lang w:val="en-US"/>
        </w:rPr>
        <w:t>Reviewing this policy</w:t>
      </w:r>
    </w:p>
    <w:p w14:paraId="1FFAA484" w14:textId="7DE8988A" w:rsidR="00E1751E" w:rsidRPr="00E1751E" w:rsidRDefault="00E1751E" w:rsidP="00E1751E">
      <w:pPr>
        <w:rPr>
          <w:lang w:val="en-US"/>
        </w:rPr>
      </w:pPr>
      <w:r w:rsidRPr="00E1751E">
        <w:rPr>
          <w:lang w:val="en-US"/>
        </w:rPr>
        <w:t xml:space="preserve">To ensure this policy continues to accurately reflect the process we have in place, Jeremy Lock Compliance Director will review this policy on </w:t>
      </w:r>
      <w:proofErr w:type="gramStart"/>
      <w:r w:rsidRPr="00E1751E">
        <w:rPr>
          <w:lang w:val="en-US"/>
        </w:rPr>
        <w:t>a</w:t>
      </w:r>
      <w:proofErr w:type="gramEnd"/>
      <w:r w:rsidRPr="00E1751E">
        <w:rPr>
          <w:lang w:val="en-US"/>
        </w:rPr>
        <w:t xml:space="preserve"> annual basis.</w:t>
      </w:r>
    </w:p>
    <w:p w14:paraId="6D860ED4" w14:textId="77777777" w:rsidR="00E1751E" w:rsidRPr="00E1751E" w:rsidRDefault="00E1751E" w:rsidP="00E1751E">
      <w:pPr>
        <w:rPr>
          <w:lang w:val="en-US"/>
        </w:rPr>
      </w:pPr>
      <w:r w:rsidRPr="00E1751E">
        <w:rPr>
          <w:lang w:val="en-US"/>
        </w:rPr>
        <w:t>If any updates are required, these will be made within 5 business days following the latest review and all staff will be notified by email</w:t>
      </w:r>
    </w:p>
    <w:p w14:paraId="4AF3C1AB" w14:textId="77777777" w:rsidR="00E1751E" w:rsidRPr="00E1751E" w:rsidRDefault="00E1751E" w:rsidP="00E1751E">
      <w:pPr>
        <w:rPr>
          <w:lang w:val="en-US"/>
        </w:rPr>
      </w:pPr>
      <w:r w:rsidRPr="00E1751E">
        <w:rPr>
          <w:lang w:val="en-US"/>
        </w:rPr>
        <w:t>This policy was last reviewed by Jeremy Lock Compliance Director on 06.06.2024 This policy has been approved by Karl Wilkinson, SMF 16 Compliance Oversight.</w:t>
      </w:r>
    </w:p>
    <w:p w14:paraId="5630E80A" w14:textId="77777777" w:rsidR="00E1751E" w:rsidRPr="00E1751E" w:rsidRDefault="00E1751E" w:rsidP="00E1751E">
      <w:pPr>
        <w:rPr>
          <w:lang w:val="en-US"/>
        </w:rPr>
      </w:pPr>
    </w:p>
    <w:p w14:paraId="05EA94A4" w14:textId="77777777" w:rsidR="00E1751E" w:rsidRPr="00E1751E" w:rsidRDefault="00E1751E" w:rsidP="00E1751E">
      <w:pPr>
        <w:rPr>
          <w:lang w:val="en-US"/>
        </w:rPr>
      </w:pPr>
    </w:p>
    <w:p w14:paraId="4F741862" w14:textId="77777777" w:rsidR="006E4637" w:rsidRPr="00E1751E" w:rsidRDefault="006E4637">
      <w:pPr>
        <w:rPr>
          <w:lang w:val="en-US"/>
        </w:rPr>
      </w:pPr>
    </w:p>
    <w:sectPr w:rsidR="006E4637" w:rsidRPr="00E17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65B31"/>
    <w:multiLevelType w:val="hybridMultilevel"/>
    <w:tmpl w:val="4EB6088E"/>
    <w:lvl w:ilvl="0" w:tplc="8ADA4E6E">
      <w:numFmt w:val="bullet"/>
      <w:lvlText w:val=""/>
      <w:lvlJc w:val="left"/>
      <w:pPr>
        <w:ind w:left="230" w:hanging="168"/>
      </w:pPr>
      <w:rPr>
        <w:rFonts w:ascii="Symbol" w:eastAsia="Symbol" w:hAnsi="Symbol" w:cs="Symbol" w:hint="default"/>
        <w:b w:val="0"/>
        <w:bCs w:val="0"/>
        <w:i w:val="0"/>
        <w:iCs w:val="0"/>
        <w:spacing w:val="0"/>
        <w:w w:val="96"/>
        <w:sz w:val="20"/>
        <w:szCs w:val="20"/>
        <w:lang w:val="en-US" w:eastAsia="en-US" w:bidi="ar-SA"/>
      </w:rPr>
    </w:lvl>
    <w:lvl w:ilvl="1" w:tplc="2D7EC716">
      <w:numFmt w:val="bullet"/>
      <w:lvlText w:val="•"/>
      <w:lvlJc w:val="left"/>
      <w:pPr>
        <w:ind w:left="442" w:hanging="168"/>
      </w:pPr>
      <w:rPr>
        <w:lang w:val="en-US" w:eastAsia="en-US" w:bidi="ar-SA"/>
      </w:rPr>
    </w:lvl>
    <w:lvl w:ilvl="2" w:tplc="3132CE2E">
      <w:numFmt w:val="bullet"/>
      <w:lvlText w:val="•"/>
      <w:lvlJc w:val="left"/>
      <w:pPr>
        <w:ind w:left="644" w:hanging="168"/>
      </w:pPr>
      <w:rPr>
        <w:lang w:val="en-US" w:eastAsia="en-US" w:bidi="ar-SA"/>
      </w:rPr>
    </w:lvl>
    <w:lvl w:ilvl="3" w:tplc="56D0D118">
      <w:numFmt w:val="bullet"/>
      <w:lvlText w:val="•"/>
      <w:lvlJc w:val="left"/>
      <w:pPr>
        <w:ind w:left="846" w:hanging="168"/>
      </w:pPr>
      <w:rPr>
        <w:lang w:val="en-US" w:eastAsia="en-US" w:bidi="ar-SA"/>
      </w:rPr>
    </w:lvl>
    <w:lvl w:ilvl="4" w:tplc="1E18DD74">
      <w:numFmt w:val="bullet"/>
      <w:lvlText w:val="•"/>
      <w:lvlJc w:val="left"/>
      <w:pPr>
        <w:ind w:left="1048" w:hanging="168"/>
      </w:pPr>
      <w:rPr>
        <w:lang w:val="en-US" w:eastAsia="en-US" w:bidi="ar-SA"/>
      </w:rPr>
    </w:lvl>
    <w:lvl w:ilvl="5" w:tplc="568254D6">
      <w:numFmt w:val="bullet"/>
      <w:lvlText w:val="•"/>
      <w:lvlJc w:val="left"/>
      <w:pPr>
        <w:ind w:left="1250" w:hanging="168"/>
      </w:pPr>
      <w:rPr>
        <w:lang w:val="en-US" w:eastAsia="en-US" w:bidi="ar-SA"/>
      </w:rPr>
    </w:lvl>
    <w:lvl w:ilvl="6" w:tplc="19AEAB62">
      <w:numFmt w:val="bullet"/>
      <w:lvlText w:val="•"/>
      <w:lvlJc w:val="left"/>
      <w:pPr>
        <w:ind w:left="1452" w:hanging="168"/>
      </w:pPr>
      <w:rPr>
        <w:lang w:val="en-US" w:eastAsia="en-US" w:bidi="ar-SA"/>
      </w:rPr>
    </w:lvl>
    <w:lvl w:ilvl="7" w:tplc="71148DA0">
      <w:numFmt w:val="bullet"/>
      <w:lvlText w:val="•"/>
      <w:lvlJc w:val="left"/>
      <w:pPr>
        <w:ind w:left="1654" w:hanging="168"/>
      </w:pPr>
      <w:rPr>
        <w:lang w:val="en-US" w:eastAsia="en-US" w:bidi="ar-SA"/>
      </w:rPr>
    </w:lvl>
    <w:lvl w:ilvl="8" w:tplc="CC04553C">
      <w:numFmt w:val="bullet"/>
      <w:lvlText w:val="•"/>
      <w:lvlJc w:val="left"/>
      <w:pPr>
        <w:ind w:left="1856" w:hanging="168"/>
      </w:pPr>
      <w:rPr>
        <w:lang w:val="en-US" w:eastAsia="en-US" w:bidi="ar-SA"/>
      </w:rPr>
    </w:lvl>
  </w:abstractNum>
  <w:abstractNum w:abstractNumId="1" w15:restartNumberingAfterBreak="0">
    <w:nsid w:val="25AC768A"/>
    <w:multiLevelType w:val="hybridMultilevel"/>
    <w:tmpl w:val="9B48930E"/>
    <w:lvl w:ilvl="0" w:tplc="F2BEEAB0">
      <w:numFmt w:val="bullet"/>
      <w:lvlText w:val=""/>
      <w:lvlJc w:val="left"/>
      <w:pPr>
        <w:ind w:left="62" w:hanging="663"/>
      </w:pPr>
      <w:rPr>
        <w:rFonts w:ascii="Symbol" w:eastAsia="Symbol" w:hAnsi="Symbol" w:cs="Symbol" w:hint="default"/>
        <w:b w:val="0"/>
        <w:bCs w:val="0"/>
        <w:i w:val="0"/>
        <w:iCs w:val="0"/>
        <w:spacing w:val="0"/>
        <w:w w:val="96"/>
        <w:sz w:val="20"/>
        <w:szCs w:val="20"/>
        <w:lang w:val="en-US" w:eastAsia="en-US" w:bidi="ar-SA"/>
      </w:rPr>
    </w:lvl>
    <w:lvl w:ilvl="1" w:tplc="F51CF95C">
      <w:numFmt w:val="bullet"/>
      <w:lvlText w:val="•"/>
      <w:lvlJc w:val="left"/>
      <w:pPr>
        <w:ind w:left="302" w:hanging="663"/>
      </w:pPr>
      <w:rPr>
        <w:lang w:val="en-US" w:eastAsia="en-US" w:bidi="ar-SA"/>
      </w:rPr>
    </w:lvl>
    <w:lvl w:ilvl="2" w:tplc="01A6A5CA">
      <w:numFmt w:val="bullet"/>
      <w:lvlText w:val="•"/>
      <w:lvlJc w:val="left"/>
      <w:pPr>
        <w:ind w:left="544" w:hanging="663"/>
      </w:pPr>
      <w:rPr>
        <w:lang w:val="en-US" w:eastAsia="en-US" w:bidi="ar-SA"/>
      </w:rPr>
    </w:lvl>
    <w:lvl w:ilvl="3" w:tplc="D412402A">
      <w:numFmt w:val="bullet"/>
      <w:lvlText w:val="•"/>
      <w:lvlJc w:val="left"/>
      <w:pPr>
        <w:ind w:left="786" w:hanging="663"/>
      </w:pPr>
      <w:rPr>
        <w:lang w:val="en-US" w:eastAsia="en-US" w:bidi="ar-SA"/>
      </w:rPr>
    </w:lvl>
    <w:lvl w:ilvl="4" w:tplc="1C0661C6">
      <w:numFmt w:val="bullet"/>
      <w:lvlText w:val="•"/>
      <w:lvlJc w:val="left"/>
      <w:pPr>
        <w:ind w:left="1028" w:hanging="663"/>
      </w:pPr>
      <w:rPr>
        <w:lang w:val="en-US" w:eastAsia="en-US" w:bidi="ar-SA"/>
      </w:rPr>
    </w:lvl>
    <w:lvl w:ilvl="5" w:tplc="87A444D2">
      <w:numFmt w:val="bullet"/>
      <w:lvlText w:val="•"/>
      <w:lvlJc w:val="left"/>
      <w:pPr>
        <w:ind w:left="1271" w:hanging="663"/>
      </w:pPr>
      <w:rPr>
        <w:lang w:val="en-US" w:eastAsia="en-US" w:bidi="ar-SA"/>
      </w:rPr>
    </w:lvl>
    <w:lvl w:ilvl="6" w:tplc="C344A70A">
      <w:numFmt w:val="bullet"/>
      <w:lvlText w:val="•"/>
      <w:lvlJc w:val="left"/>
      <w:pPr>
        <w:ind w:left="1513" w:hanging="663"/>
      </w:pPr>
      <w:rPr>
        <w:lang w:val="en-US" w:eastAsia="en-US" w:bidi="ar-SA"/>
      </w:rPr>
    </w:lvl>
    <w:lvl w:ilvl="7" w:tplc="A60CC530">
      <w:numFmt w:val="bullet"/>
      <w:lvlText w:val="•"/>
      <w:lvlJc w:val="left"/>
      <w:pPr>
        <w:ind w:left="1755" w:hanging="663"/>
      </w:pPr>
      <w:rPr>
        <w:lang w:val="en-US" w:eastAsia="en-US" w:bidi="ar-SA"/>
      </w:rPr>
    </w:lvl>
    <w:lvl w:ilvl="8" w:tplc="7B748FE0">
      <w:numFmt w:val="bullet"/>
      <w:lvlText w:val="•"/>
      <w:lvlJc w:val="left"/>
      <w:pPr>
        <w:ind w:left="1997" w:hanging="663"/>
      </w:pPr>
      <w:rPr>
        <w:lang w:val="en-US" w:eastAsia="en-US" w:bidi="ar-SA"/>
      </w:rPr>
    </w:lvl>
  </w:abstractNum>
  <w:abstractNum w:abstractNumId="2" w15:restartNumberingAfterBreak="0">
    <w:nsid w:val="35EF600E"/>
    <w:multiLevelType w:val="hybridMultilevel"/>
    <w:tmpl w:val="AC04B79C"/>
    <w:lvl w:ilvl="0" w:tplc="6602DBC0">
      <w:numFmt w:val="bullet"/>
      <w:lvlText w:val=""/>
      <w:lvlJc w:val="left"/>
      <w:pPr>
        <w:ind w:left="230" w:hanging="111"/>
      </w:pPr>
      <w:rPr>
        <w:rFonts w:ascii="Symbol" w:eastAsia="Symbol" w:hAnsi="Symbol" w:cs="Symbol" w:hint="default"/>
        <w:b w:val="0"/>
        <w:bCs w:val="0"/>
        <w:i w:val="0"/>
        <w:iCs w:val="0"/>
        <w:spacing w:val="21"/>
        <w:w w:val="74"/>
        <w:sz w:val="20"/>
        <w:szCs w:val="20"/>
        <w:lang w:val="en-US" w:eastAsia="en-US" w:bidi="ar-SA"/>
      </w:rPr>
    </w:lvl>
    <w:lvl w:ilvl="1" w:tplc="F404CFC2">
      <w:numFmt w:val="bullet"/>
      <w:lvlText w:val="•"/>
      <w:lvlJc w:val="left"/>
      <w:pPr>
        <w:ind w:left="527" w:hanging="111"/>
      </w:pPr>
      <w:rPr>
        <w:lang w:val="en-US" w:eastAsia="en-US" w:bidi="ar-SA"/>
      </w:rPr>
    </w:lvl>
    <w:lvl w:ilvl="2" w:tplc="04F453C2">
      <w:numFmt w:val="bullet"/>
      <w:lvlText w:val="•"/>
      <w:lvlJc w:val="left"/>
      <w:pPr>
        <w:ind w:left="814" w:hanging="111"/>
      </w:pPr>
      <w:rPr>
        <w:lang w:val="en-US" w:eastAsia="en-US" w:bidi="ar-SA"/>
      </w:rPr>
    </w:lvl>
    <w:lvl w:ilvl="3" w:tplc="A1524836">
      <w:numFmt w:val="bullet"/>
      <w:lvlText w:val="•"/>
      <w:lvlJc w:val="left"/>
      <w:pPr>
        <w:ind w:left="1101" w:hanging="111"/>
      </w:pPr>
      <w:rPr>
        <w:lang w:val="en-US" w:eastAsia="en-US" w:bidi="ar-SA"/>
      </w:rPr>
    </w:lvl>
    <w:lvl w:ilvl="4" w:tplc="B6A0B466">
      <w:numFmt w:val="bullet"/>
      <w:lvlText w:val="•"/>
      <w:lvlJc w:val="left"/>
      <w:pPr>
        <w:ind w:left="1388" w:hanging="111"/>
      </w:pPr>
      <w:rPr>
        <w:lang w:val="en-US" w:eastAsia="en-US" w:bidi="ar-SA"/>
      </w:rPr>
    </w:lvl>
    <w:lvl w:ilvl="5" w:tplc="25EC41C2">
      <w:numFmt w:val="bullet"/>
      <w:lvlText w:val="•"/>
      <w:lvlJc w:val="left"/>
      <w:pPr>
        <w:ind w:left="1675" w:hanging="111"/>
      </w:pPr>
      <w:rPr>
        <w:lang w:val="en-US" w:eastAsia="en-US" w:bidi="ar-SA"/>
      </w:rPr>
    </w:lvl>
    <w:lvl w:ilvl="6" w:tplc="1FFC8866">
      <w:numFmt w:val="bullet"/>
      <w:lvlText w:val="•"/>
      <w:lvlJc w:val="left"/>
      <w:pPr>
        <w:ind w:left="1962" w:hanging="111"/>
      </w:pPr>
      <w:rPr>
        <w:lang w:val="en-US" w:eastAsia="en-US" w:bidi="ar-SA"/>
      </w:rPr>
    </w:lvl>
    <w:lvl w:ilvl="7" w:tplc="3352257E">
      <w:numFmt w:val="bullet"/>
      <w:lvlText w:val="•"/>
      <w:lvlJc w:val="left"/>
      <w:pPr>
        <w:ind w:left="2249" w:hanging="111"/>
      </w:pPr>
      <w:rPr>
        <w:lang w:val="en-US" w:eastAsia="en-US" w:bidi="ar-SA"/>
      </w:rPr>
    </w:lvl>
    <w:lvl w:ilvl="8" w:tplc="B4AE1900">
      <w:numFmt w:val="bullet"/>
      <w:lvlText w:val="•"/>
      <w:lvlJc w:val="left"/>
      <w:pPr>
        <w:ind w:left="2536" w:hanging="111"/>
      </w:pPr>
      <w:rPr>
        <w:lang w:val="en-US" w:eastAsia="en-US" w:bidi="ar-SA"/>
      </w:rPr>
    </w:lvl>
  </w:abstractNum>
  <w:abstractNum w:abstractNumId="3" w15:restartNumberingAfterBreak="0">
    <w:nsid w:val="395A6B70"/>
    <w:multiLevelType w:val="hybridMultilevel"/>
    <w:tmpl w:val="F1CA911E"/>
    <w:lvl w:ilvl="0" w:tplc="98DCAEAA">
      <w:numFmt w:val="bullet"/>
      <w:lvlText w:val=""/>
      <w:lvlJc w:val="left"/>
      <w:pPr>
        <w:ind w:left="1477" w:hanging="361"/>
      </w:pPr>
      <w:rPr>
        <w:rFonts w:ascii="Symbol" w:eastAsia="Symbol" w:hAnsi="Symbol" w:cs="Symbol" w:hint="default"/>
        <w:b w:val="0"/>
        <w:bCs w:val="0"/>
        <w:i w:val="0"/>
        <w:iCs w:val="0"/>
        <w:spacing w:val="0"/>
        <w:w w:val="95"/>
        <w:sz w:val="24"/>
        <w:szCs w:val="24"/>
        <w:lang w:val="en-US" w:eastAsia="en-US" w:bidi="ar-SA"/>
      </w:rPr>
    </w:lvl>
    <w:lvl w:ilvl="1" w:tplc="359C2F2E">
      <w:numFmt w:val="bullet"/>
      <w:lvlText w:val=""/>
      <w:lvlJc w:val="left"/>
      <w:pPr>
        <w:ind w:left="2197" w:hanging="360"/>
      </w:pPr>
      <w:rPr>
        <w:rFonts w:ascii="Symbol" w:eastAsia="Symbol" w:hAnsi="Symbol" w:cs="Symbol" w:hint="default"/>
        <w:b w:val="0"/>
        <w:bCs w:val="0"/>
        <w:i w:val="0"/>
        <w:iCs w:val="0"/>
        <w:spacing w:val="0"/>
        <w:w w:val="96"/>
        <w:sz w:val="20"/>
        <w:szCs w:val="20"/>
        <w:lang w:val="en-US" w:eastAsia="en-US" w:bidi="ar-SA"/>
      </w:rPr>
    </w:lvl>
    <w:lvl w:ilvl="2" w:tplc="4F4A3D4A">
      <w:numFmt w:val="bullet"/>
      <w:lvlText w:val="•"/>
      <w:lvlJc w:val="left"/>
      <w:pPr>
        <w:ind w:left="3120" w:hanging="360"/>
      </w:pPr>
      <w:rPr>
        <w:lang w:val="en-US" w:eastAsia="en-US" w:bidi="ar-SA"/>
      </w:rPr>
    </w:lvl>
    <w:lvl w:ilvl="3" w:tplc="B6B6055A">
      <w:numFmt w:val="bullet"/>
      <w:lvlText w:val="•"/>
      <w:lvlJc w:val="left"/>
      <w:pPr>
        <w:ind w:left="4040" w:hanging="360"/>
      </w:pPr>
      <w:rPr>
        <w:lang w:val="en-US" w:eastAsia="en-US" w:bidi="ar-SA"/>
      </w:rPr>
    </w:lvl>
    <w:lvl w:ilvl="4" w:tplc="B06A4E72">
      <w:numFmt w:val="bullet"/>
      <w:lvlText w:val="•"/>
      <w:lvlJc w:val="left"/>
      <w:pPr>
        <w:ind w:left="4961" w:hanging="360"/>
      </w:pPr>
      <w:rPr>
        <w:lang w:val="en-US" w:eastAsia="en-US" w:bidi="ar-SA"/>
      </w:rPr>
    </w:lvl>
    <w:lvl w:ilvl="5" w:tplc="E5382254">
      <w:numFmt w:val="bullet"/>
      <w:lvlText w:val="•"/>
      <w:lvlJc w:val="left"/>
      <w:pPr>
        <w:ind w:left="5881" w:hanging="360"/>
      </w:pPr>
      <w:rPr>
        <w:lang w:val="en-US" w:eastAsia="en-US" w:bidi="ar-SA"/>
      </w:rPr>
    </w:lvl>
    <w:lvl w:ilvl="6" w:tplc="516CEDAA">
      <w:numFmt w:val="bullet"/>
      <w:lvlText w:val="•"/>
      <w:lvlJc w:val="left"/>
      <w:pPr>
        <w:ind w:left="6801" w:hanging="360"/>
      </w:pPr>
      <w:rPr>
        <w:lang w:val="en-US" w:eastAsia="en-US" w:bidi="ar-SA"/>
      </w:rPr>
    </w:lvl>
    <w:lvl w:ilvl="7" w:tplc="2A44D04E">
      <w:numFmt w:val="bullet"/>
      <w:lvlText w:val="•"/>
      <w:lvlJc w:val="left"/>
      <w:pPr>
        <w:ind w:left="7722" w:hanging="360"/>
      </w:pPr>
      <w:rPr>
        <w:lang w:val="en-US" w:eastAsia="en-US" w:bidi="ar-SA"/>
      </w:rPr>
    </w:lvl>
    <w:lvl w:ilvl="8" w:tplc="FDD43F02">
      <w:numFmt w:val="bullet"/>
      <w:lvlText w:val="•"/>
      <w:lvlJc w:val="left"/>
      <w:pPr>
        <w:ind w:left="8642" w:hanging="360"/>
      </w:pPr>
      <w:rPr>
        <w:lang w:val="en-US" w:eastAsia="en-US" w:bidi="ar-SA"/>
      </w:rPr>
    </w:lvl>
  </w:abstractNum>
  <w:abstractNum w:abstractNumId="4" w15:restartNumberingAfterBreak="0">
    <w:nsid w:val="62CD2D8E"/>
    <w:multiLevelType w:val="hybridMultilevel"/>
    <w:tmpl w:val="C596BB40"/>
    <w:lvl w:ilvl="0" w:tplc="25C20990">
      <w:numFmt w:val="bullet"/>
      <w:lvlText w:val=""/>
      <w:lvlJc w:val="left"/>
      <w:pPr>
        <w:ind w:left="120" w:hanging="606"/>
      </w:pPr>
      <w:rPr>
        <w:rFonts w:ascii="Symbol" w:eastAsia="Symbol" w:hAnsi="Symbol" w:cs="Symbol" w:hint="default"/>
        <w:b w:val="0"/>
        <w:bCs w:val="0"/>
        <w:i w:val="0"/>
        <w:iCs w:val="0"/>
        <w:spacing w:val="0"/>
        <w:w w:val="96"/>
        <w:sz w:val="20"/>
        <w:szCs w:val="20"/>
        <w:lang w:val="en-US" w:eastAsia="en-US" w:bidi="ar-SA"/>
      </w:rPr>
    </w:lvl>
    <w:lvl w:ilvl="1" w:tplc="272C4C94">
      <w:numFmt w:val="bullet"/>
      <w:lvlText w:val="•"/>
      <w:lvlJc w:val="left"/>
      <w:pPr>
        <w:ind w:left="353" w:hanging="606"/>
      </w:pPr>
      <w:rPr>
        <w:lang w:val="en-US" w:eastAsia="en-US" w:bidi="ar-SA"/>
      </w:rPr>
    </w:lvl>
    <w:lvl w:ilvl="2" w:tplc="1B528AFA">
      <w:numFmt w:val="bullet"/>
      <w:lvlText w:val="•"/>
      <w:lvlJc w:val="left"/>
      <w:pPr>
        <w:ind w:left="587" w:hanging="606"/>
      </w:pPr>
      <w:rPr>
        <w:lang w:val="en-US" w:eastAsia="en-US" w:bidi="ar-SA"/>
      </w:rPr>
    </w:lvl>
    <w:lvl w:ilvl="3" w:tplc="2DF0DA52">
      <w:numFmt w:val="bullet"/>
      <w:lvlText w:val="•"/>
      <w:lvlJc w:val="left"/>
      <w:pPr>
        <w:ind w:left="821" w:hanging="606"/>
      </w:pPr>
      <w:rPr>
        <w:lang w:val="en-US" w:eastAsia="en-US" w:bidi="ar-SA"/>
      </w:rPr>
    </w:lvl>
    <w:lvl w:ilvl="4" w:tplc="01DED85E">
      <w:numFmt w:val="bullet"/>
      <w:lvlText w:val="•"/>
      <w:lvlJc w:val="left"/>
      <w:pPr>
        <w:ind w:left="1055" w:hanging="606"/>
      </w:pPr>
      <w:rPr>
        <w:lang w:val="en-US" w:eastAsia="en-US" w:bidi="ar-SA"/>
      </w:rPr>
    </w:lvl>
    <w:lvl w:ilvl="5" w:tplc="211C98B0">
      <w:numFmt w:val="bullet"/>
      <w:lvlText w:val="•"/>
      <w:lvlJc w:val="left"/>
      <w:pPr>
        <w:ind w:left="1289" w:hanging="606"/>
      </w:pPr>
      <w:rPr>
        <w:lang w:val="en-US" w:eastAsia="en-US" w:bidi="ar-SA"/>
      </w:rPr>
    </w:lvl>
    <w:lvl w:ilvl="6" w:tplc="3CF84672">
      <w:numFmt w:val="bullet"/>
      <w:lvlText w:val="•"/>
      <w:lvlJc w:val="left"/>
      <w:pPr>
        <w:ind w:left="1522" w:hanging="606"/>
      </w:pPr>
      <w:rPr>
        <w:lang w:val="en-US" w:eastAsia="en-US" w:bidi="ar-SA"/>
      </w:rPr>
    </w:lvl>
    <w:lvl w:ilvl="7" w:tplc="18A02BAA">
      <w:numFmt w:val="bullet"/>
      <w:lvlText w:val="•"/>
      <w:lvlJc w:val="left"/>
      <w:pPr>
        <w:ind w:left="1756" w:hanging="606"/>
      </w:pPr>
      <w:rPr>
        <w:lang w:val="en-US" w:eastAsia="en-US" w:bidi="ar-SA"/>
      </w:rPr>
    </w:lvl>
    <w:lvl w:ilvl="8" w:tplc="5E7E8840">
      <w:numFmt w:val="bullet"/>
      <w:lvlText w:val="•"/>
      <w:lvlJc w:val="left"/>
      <w:pPr>
        <w:ind w:left="1990" w:hanging="606"/>
      </w:pPr>
      <w:rPr>
        <w:lang w:val="en-US" w:eastAsia="en-US" w:bidi="ar-SA"/>
      </w:rPr>
    </w:lvl>
  </w:abstractNum>
  <w:num w:numId="1" w16cid:durableId="1553149547">
    <w:abstractNumId w:val="3"/>
    <w:lvlOverride w:ilvl="0"/>
    <w:lvlOverride w:ilvl="1"/>
    <w:lvlOverride w:ilvl="2"/>
    <w:lvlOverride w:ilvl="3"/>
    <w:lvlOverride w:ilvl="4"/>
    <w:lvlOverride w:ilvl="5"/>
    <w:lvlOverride w:ilvl="6"/>
    <w:lvlOverride w:ilvl="7"/>
    <w:lvlOverride w:ilvl="8"/>
  </w:num>
  <w:num w:numId="2" w16cid:durableId="343240665">
    <w:abstractNumId w:val="0"/>
    <w:lvlOverride w:ilvl="0"/>
    <w:lvlOverride w:ilvl="1"/>
    <w:lvlOverride w:ilvl="2"/>
    <w:lvlOverride w:ilvl="3"/>
    <w:lvlOverride w:ilvl="4"/>
    <w:lvlOverride w:ilvl="5"/>
    <w:lvlOverride w:ilvl="6"/>
    <w:lvlOverride w:ilvl="7"/>
    <w:lvlOverride w:ilvl="8"/>
  </w:num>
  <w:num w:numId="3" w16cid:durableId="621692468">
    <w:abstractNumId w:val="2"/>
    <w:lvlOverride w:ilvl="0"/>
    <w:lvlOverride w:ilvl="1"/>
    <w:lvlOverride w:ilvl="2"/>
    <w:lvlOverride w:ilvl="3"/>
    <w:lvlOverride w:ilvl="4"/>
    <w:lvlOverride w:ilvl="5"/>
    <w:lvlOverride w:ilvl="6"/>
    <w:lvlOverride w:ilvl="7"/>
    <w:lvlOverride w:ilvl="8"/>
  </w:num>
  <w:num w:numId="4" w16cid:durableId="961106381">
    <w:abstractNumId w:val="4"/>
    <w:lvlOverride w:ilvl="0"/>
    <w:lvlOverride w:ilvl="1"/>
    <w:lvlOverride w:ilvl="2"/>
    <w:lvlOverride w:ilvl="3"/>
    <w:lvlOverride w:ilvl="4"/>
    <w:lvlOverride w:ilvl="5"/>
    <w:lvlOverride w:ilvl="6"/>
    <w:lvlOverride w:ilvl="7"/>
    <w:lvlOverride w:ilvl="8"/>
  </w:num>
  <w:num w:numId="5" w16cid:durableId="155716421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1E"/>
    <w:rsid w:val="00257D05"/>
    <w:rsid w:val="006E4637"/>
    <w:rsid w:val="00E17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4943"/>
  <w15:chartTrackingRefBased/>
  <w15:docId w15:val="{3A116A4B-D71D-428D-A401-3C370856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51E"/>
    <w:rPr>
      <w:rFonts w:eastAsiaTheme="majorEastAsia" w:cstheme="majorBidi"/>
      <w:color w:val="272727" w:themeColor="text1" w:themeTint="D8"/>
    </w:rPr>
  </w:style>
  <w:style w:type="paragraph" w:styleId="Title">
    <w:name w:val="Title"/>
    <w:basedOn w:val="Normal"/>
    <w:next w:val="Normal"/>
    <w:link w:val="TitleChar"/>
    <w:uiPriority w:val="10"/>
    <w:qFormat/>
    <w:rsid w:val="00E17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51E"/>
    <w:pPr>
      <w:spacing w:before="160"/>
      <w:jc w:val="center"/>
    </w:pPr>
    <w:rPr>
      <w:i/>
      <w:iCs/>
      <w:color w:val="404040" w:themeColor="text1" w:themeTint="BF"/>
    </w:rPr>
  </w:style>
  <w:style w:type="character" w:customStyle="1" w:styleId="QuoteChar">
    <w:name w:val="Quote Char"/>
    <w:basedOn w:val="DefaultParagraphFont"/>
    <w:link w:val="Quote"/>
    <w:uiPriority w:val="29"/>
    <w:rsid w:val="00E1751E"/>
    <w:rPr>
      <w:i/>
      <w:iCs/>
      <w:color w:val="404040" w:themeColor="text1" w:themeTint="BF"/>
    </w:rPr>
  </w:style>
  <w:style w:type="paragraph" w:styleId="ListParagraph">
    <w:name w:val="List Paragraph"/>
    <w:basedOn w:val="Normal"/>
    <w:uiPriority w:val="34"/>
    <w:qFormat/>
    <w:rsid w:val="00E1751E"/>
    <w:pPr>
      <w:ind w:left="720"/>
      <w:contextualSpacing/>
    </w:pPr>
  </w:style>
  <w:style w:type="character" w:styleId="IntenseEmphasis">
    <w:name w:val="Intense Emphasis"/>
    <w:basedOn w:val="DefaultParagraphFont"/>
    <w:uiPriority w:val="21"/>
    <w:qFormat/>
    <w:rsid w:val="00E1751E"/>
    <w:rPr>
      <w:i/>
      <w:iCs/>
      <w:color w:val="0F4761" w:themeColor="accent1" w:themeShade="BF"/>
    </w:rPr>
  </w:style>
  <w:style w:type="paragraph" w:styleId="IntenseQuote">
    <w:name w:val="Intense Quote"/>
    <w:basedOn w:val="Normal"/>
    <w:next w:val="Normal"/>
    <w:link w:val="IntenseQuoteChar"/>
    <w:uiPriority w:val="30"/>
    <w:qFormat/>
    <w:rsid w:val="00E17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51E"/>
    <w:rPr>
      <w:i/>
      <w:iCs/>
      <w:color w:val="0F4761" w:themeColor="accent1" w:themeShade="BF"/>
    </w:rPr>
  </w:style>
  <w:style w:type="character" w:styleId="IntenseReference">
    <w:name w:val="Intense Reference"/>
    <w:basedOn w:val="DefaultParagraphFont"/>
    <w:uiPriority w:val="32"/>
    <w:qFormat/>
    <w:rsid w:val="00E175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1506</Words>
  <Characters>8590</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Tudor</dc:creator>
  <cp:keywords/>
  <dc:description/>
  <cp:lastModifiedBy>Alina Tudor</cp:lastModifiedBy>
  <cp:revision>1</cp:revision>
  <dcterms:created xsi:type="dcterms:W3CDTF">2026-01-30T12:09:00Z</dcterms:created>
  <dcterms:modified xsi:type="dcterms:W3CDTF">2026-01-30T12:16:00Z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1da0458b-fcbd-4190-be7e-a580f831c16a</vt:lpwstr>
  </property>
</Properties>
</file>